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775E" w14:textId="77777777" w:rsidR="0065481A" w:rsidRPr="00A6017D" w:rsidRDefault="0065481A" w:rsidP="0065481A">
      <w:pPr>
        <w:pStyle w:val="ListParagraph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ĐẠI CƯƠNG</w:t>
      </w:r>
      <w:r w:rsidRPr="00A6017D">
        <w:rPr>
          <w:rFonts w:cs="Times New Roman"/>
          <w:b/>
          <w:szCs w:val="24"/>
        </w:rPr>
        <w:t>:</w:t>
      </w:r>
    </w:p>
    <w:p w14:paraId="20CE1423" w14:textId="77777777" w:rsidR="0065481A" w:rsidRPr="00B5468E" w:rsidRDefault="0065481A" w:rsidP="0065481A">
      <w:pPr>
        <w:pStyle w:val="ListParagraph"/>
        <w:spacing w:after="200" w:line="240" w:lineRule="auto"/>
        <w:rPr>
          <w:rFonts w:ascii="TimesNewRomanPSMT" w:hAnsi="TimesNewRomanPSMT"/>
          <w:color w:val="000000"/>
          <w:szCs w:val="24"/>
        </w:rPr>
      </w:pPr>
      <w:r w:rsidRPr="00B5468E">
        <w:rPr>
          <w:rFonts w:ascii="TimesNewRomanPSMT" w:hAnsi="TimesNewRomanPSMT"/>
          <w:color w:val="000000"/>
          <w:szCs w:val="24"/>
        </w:rPr>
        <w:t>Ung thư (UT) tuyến giáp bao gồm nhiều loại bệnh lý ác tính, có thể đa dạng từ dạng diễn tiến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5468E">
        <w:rPr>
          <w:rFonts w:ascii="TimesNewRomanPSMT" w:hAnsi="TimesNewRomanPSMT"/>
          <w:color w:val="000000"/>
          <w:szCs w:val="24"/>
        </w:rPr>
        <w:t xml:space="preserve">chậm, đến loại ung thư diễn tiến rất nhanh gây tử vong. </w:t>
      </w:r>
    </w:p>
    <w:p w14:paraId="1CE74507" w14:textId="77777777" w:rsidR="0065481A" w:rsidRPr="00B5468E" w:rsidRDefault="0065481A" w:rsidP="0065481A">
      <w:pPr>
        <w:pStyle w:val="ListParagraph"/>
        <w:spacing w:after="200" w:line="240" w:lineRule="auto"/>
        <w:rPr>
          <w:rFonts w:ascii="TimesNewRomanPSMT" w:hAnsi="TimesNewRomanPSMT"/>
          <w:color w:val="000000"/>
          <w:szCs w:val="24"/>
        </w:rPr>
      </w:pPr>
      <w:r w:rsidRPr="00B5468E">
        <w:rPr>
          <w:rFonts w:ascii="TimesNewRomanPSMT" w:hAnsi="TimesNewRomanPSMT"/>
          <w:color w:val="000000"/>
          <w:szCs w:val="24"/>
        </w:rPr>
        <w:t xml:space="preserve">Ung thư tuyến giáp dạng biệt hóa (bao gồm dạng nhú, dạng nang, và loại tế bào </w:t>
      </w:r>
      <w:bookmarkStart w:id="0" w:name="_GoBack"/>
      <w:bookmarkEnd w:id="0"/>
      <w:r w:rsidRPr="00B5468E">
        <w:rPr>
          <w:rFonts w:ascii="TimesNewRomanPSMT" w:hAnsi="TimesNewRomanPSMT"/>
          <w:color w:val="000000"/>
          <w:szCs w:val="24"/>
        </w:rPr>
        <w:t>Hürthle)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5468E">
        <w:rPr>
          <w:rFonts w:ascii="TimesNewRomanPSMT" w:hAnsi="TimesNewRomanPSMT"/>
          <w:color w:val="000000"/>
          <w:szCs w:val="24"/>
        </w:rPr>
        <w:t>thường điển hình có tỷ lệ sống còn rất tốt. Mục tiêu điều trị là giảm thiểu bệnh lý và tử vong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5468E">
        <w:rPr>
          <w:rFonts w:ascii="TimesNewRomanPSMT" w:hAnsi="TimesNewRomanPSMT"/>
          <w:color w:val="000000"/>
          <w:szCs w:val="24"/>
        </w:rPr>
        <w:t>do ung thư (bao gồm tái phát, di căn và tử vong), cũng như do điều trị gây ra (gồm biến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5468E">
        <w:rPr>
          <w:rFonts w:ascii="TimesNewRomanPSMT" w:hAnsi="TimesNewRomanPSMT"/>
          <w:color w:val="000000"/>
          <w:szCs w:val="24"/>
        </w:rPr>
        <w:t>chứng của phẫu thuật, suy giáp, tác dụng phụ điều trị toàn thân), đồng thời vẫn đạt được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5468E">
        <w:rPr>
          <w:rFonts w:ascii="TimesNewRomanPSMT" w:hAnsi="TimesNewRomanPSMT"/>
          <w:color w:val="000000"/>
          <w:szCs w:val="24"/>
        </w:rPr>
        <w:t xml:space="preserve">kết quả tốt về sống còn cho bệnh nhân. </w:t>
      </w:r>
    </w:p>
    <w:p w14:paraId="6F4FEDDD" w14:textId="77777777" w:rsidR="0065481A" w:rsidRPr="00B5468E" w:rsidRDefault="0065481A" w:rsidP="0065481A">
      <w:pPr>
        <w:pStyle w:val="ListParagraph"/>
        <w:spacing w:after="200" w:line="240" w:lineRule="auto"/>
        <w:rPr>
          <w:rFonts w:ascii="TimesNewRomanPSMT" w:hAnsi="TimesNewRomanPSMT"/>
          <w:color w:val="000000"/>
          <w:szCs w:val="24"/>
        </w:rPr>
      </w:pPr>
      <w:r w:rsidRPr="00B5468E">
        <w:rPr>
          <w:rFonts w:ascii="TimesNewRomanPSMT" w:hAnsi="TimesNewRomanPSMT"/>
          <w:color w:val="000000"/>
          <w:szCs w:val="24"/>
        </w:rPr>
        <w:t>Ung thư tuyến giáp dạng tủy và dạng không biệt hóa là những dạng hiếm gặp. Tuy nhiên,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5468E">
        <w:rPr>
          <w:rFonts w:ascii="TimesNewRomanPSMT" w:hAnsi="TimesNewRomanPSMT"/>
          <w:color w:val="000000"/>
          <w:szCs w:val="24"/>
        </w:rPr>
        <w:t>khác với ung thư tuyến giáp biệt hóa, hai dạng này thường được chẩn đoán ở giai đoạn tiến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5468E">
        <w:rPr>
          <w:rFonts w:ascii="TimesNewRomanPSMT" w:hAnsi="TimesNewRomanPSMT"/>
          <w:color w:val="000000"/>
          <w:szCs w:val="24"/>
        </w:rPr>
        <w:t>triển, đã có di căn hạch và di căn xa. Ung thư tuyến giáp không biệt hóa là thể diễn tiến rất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5468E">
        <w:rPr>
          <w:rFonts w:ascii="TimesNewRomanPSMT" w:hAnsi="TimesNewRomanPSMT"/>
          <w:color w:val="000000"/>
          <w:szCs w:val="24"/>
        </w:rPr>
        <w:t>nhanh, tỷ lệ tử vong cao.</w:t>
      </w:r>
      <w:r w:rsidRPr="00B5468E">
        <w:rPr>
          <w:szCs w:val="24"/>
        </w:rPr>
        <w:t xml:space="preserve"> </w:t>
      </w:r>
    </w:p>
    <w:p w14:paraId="68652CB2" w14:textId="6B2DDD30" w:rsidR="0065481A" w:rsidRDefault="0065481A" w:rsidP="0065481A">
      <w:pPr>
        <w:pStyle w:val="ListParagraph"/>
        <w:numPr>
          <w:ilvl w:val="0"/>
          <w:numId w:val="4"/>
        </w:numPr>
        <w:spacing w:after="200" w:line="240" w:lineRule="auto"/>
        <w:rPr>
          <w:rFonts w:cs="Times New Roman"/>
          <w:b/>
          <w:szCs w:val="24"/>
          <w:lang w:val="it-IT"/>
        </w:rPr>
      </w:pPr>
      <w:r w:rsidRPr="002B1C66">
        <w:rPr>
          <w:rFonts w:cs="Times New Roman"/>
          <w:b/>
          <w:szCs w:val="24"/>
          <w:lang w:val="it-IT"/>
        </w:rPr>
        <w:t>CHẨN ĐOÁN</w:t>
      </w:r>
    </w:p>
    <w:p w14:paraId="0C709AC9" w14:textId="77777777" w:rsidR="0065481A" w:rsidRPr="002B1C66" w:rsidRDefault="0065481A" w:rsidP="0065481A">
      <w:pPr>
        <w:pStyle w:val="ListParagraph"/>
        <w:numPr>
          <w:ilvl w:val="1"/>
          <w:numId w:val="4"/>
        </w:numPr>
        <w:spacing w:after="200" w:line="240" w:lineRule="auto"/>
        <w:jc w:val="both"/>
        <w:rPr>
          <w:rFonts w:cs="Times New Roman"/>
          <w:i/>
          <w:szCs w:val="24"/>
          <w:u w:val="single"/>
          <w:lang w:val="it-IT"/>
        </w:rPr>
      </w:pPr>
      <w:r>
        <w:rPr>
          <w:rFonts w:cs="Times New Roman"/>
          <w:i/>
          <w:szCs w:val="24"/>
          <w:u w:val="single"/>
          <w:lang w:val="it-IT"/>
        </w:rPr>
        <w:t xml:space="preserve"> Các tình huống lâm sàng</w:t>
      </w:r>
      <w:r w:rsidRPr="002B1C66">
        <w:rPr>
          <w:rFonts w:cs="Times New Roman"/>
          <w:i/>
          <w:szCs w:val="24"/>
          <w:u w:val="single"/>
          <w:lang w:val="it-IT"/>
        </w:rPr>
        <w:t>:</w:t>
      </w:r>
    </w:p>
    <w:p w14:paraId="56EEB6A2" w14:textId="77777777" w:rsidR="0065481A" w:rsidRPr="00306FC6" w:rsidRDefault="0065481A" w:rsidP="0065481A">
      <w:pPr>
        <w:pStyle w:val="ListParagraph"/>
        <w:spacing w:after="200" w:line="240" w:lineRule="auto"/>
        <w:ind w:left="567"/>
        <w:rPr>
          <w:rFonts w:cs="Times New Roman"/>
          <w:szCs w:val="24"/>
          <w:lang w:val="it-IT"/>
        </w:rPr>
      </w:pPr>
      <w:r w:rsidRPr="002F7B5B">
        <w:rPr>
          <w:rFonts w:ascii="TimesNewRomanPSMT" w:hAnsi="TimesNewRomanPSMT"/>
          <w:color w:val="000000"/>
          <w:szCs w:val="24"/>
        </w:rPr>
        <w:t>Hạt giáp thường không triệu chứng, và có thể được phát hiện khi thăm khám cẩn thận vùng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cổ, hoặc phát hiện tình cờ qua các phương tiện hình ảnh học. Khi có triệu chứng, thì triệu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chứng chèn ép vùng cổ thường là nguyên nhân để bệnh nhân đi khám. Các triệu chứng bao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gồm: khối vùng cổ, khàn tiếng, cảm giác chèn ép vùng cổ, đau vùng cổ, ho, khó thở hoặc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khó nuốt. Một bệnh sử với hạt giáp hoặc hạch cổ diễn tiến nhanh có thể gợi ý loại ung thư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kém biệt hóa hoặc không biệt hóa hoặc lymphôm. Một số trường hợp hiếm gặp có thể phát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hiện bệnh qua triệu chứng ở cơ quan di căn (như phổi, xương).</w:t>
      </w:r>
      <w:r w:rsidRPr="002F7B5B">
        <w:rPr>
          <w:rFonts w:ascii="TimesNewRomanPSMT" w:hAnsi="TimesNewRomanPSMT"/>
          <w:color w:val="000000"/>
          <w:szCs w:val="24"/>
        </w:rPr>
        <w:br/>
        <w:t>Về thăm khám lâm sàng, cần xác định các đặc điểm của nhân giáp, bao gồm vị trí, mật độ,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kích thước, số lượng, giới hạn và tính di động của nhân giáp. Các yếu tố trên thăm khám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giúp gợi ý nhân ác tính gồm: cứng, không đàn hồi, dính với mô lân cận, và có hạch cổ đi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kèm. Tuy nhiên, cần phải chú ý, bệnh sử và thăm khám lâm sàng chỉ giúp gợi ý chứ không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2F7B5B">
        <w:rPr>
          <w:rFonts w:ascii="TimesNewRomanPSMT" w:hAnsi="TimesNewRomanPSMT"/>
          <w:color w:val="000000"/>
          <w:szCs w:val="24"/>
        </w:rPr>
        <w:t>đủ để chẩn đoán xác định ung thư tuyến giáp.</w:t>
      </w:r>
    </w:p>
    <w:p w14:paraId="1EE145BC" w14:textId="77777777" w:rsidR="0065481A" w:rsidRPr="009A0B3B" w:rsidRDefault="0065481A" w:rsidP="0065481A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i/>
          <w:szCs w:val="24"/>
          <w:u w:val="single"/>
          <w:lang w:val="it-IT"/>
        </w:rPr>
      </w:pPr>
      <w:r>
        <w:rPr>
          <w:rFonts w:cs="Times New Roman"/>
          <w:i/>
          <w:szCs w:val="24"/>
          <w:u w:val="single"/>
          <w:lang w:val="it-IT"/>
        </w:rPr>
        <w:t xml:space="preserve"> Các phương tiện chẩn đoán</w:t>
      </w:r>
      <w:r w:rsidRPr="009A0B3B">
        <w:rPr>
          <w:rFonts w:cs="Times New Roman"/>
          <w:i/>
          <w:szCs w:val="24"/>
          <w:u w:val="single"/>
          <w:lang w:val="it-IT"/>
        </w:rPr>
        <w:t>:</w:t>
      </w:r>
    </w:p>
    <w:p w14:paraId="433D11D1" w14:textId="77777777" w:rsidR="0065481A" w:rsidRDefault="0065481A" w:rsidP="0065481A">
      <w:pPr>
        <w:spacing w:after="0" w:line="240" w:lineRule="auto"/>
        <w:ind w:left="540"/>
        <w:contextualSpacing/>
        <w:jc w:val="both"/>
        <w:rPr>
          <w:rFonts w:cs="Times New Roman"/>
          <w:szCs w:val="24"/>
          <w:lang w:val="it-IT"/>
        </w:rPr>
      </w:pPr>
      <w:r>
        <w:rPr>
          <w:rFonts w:cs="Times New Roman"/>
          <w:b/>
          <w:i/>
          <w:szCs w:val="24"/>
          <w:lang w:val="it-IT"/>
        </w:rPr>
        <w:t xml:space="preserve">Chức năng tuyến giáp </w:t>
      </w:r>
      <w:r>
        <w:rPr>
          <w:rFonts w:cs="Times New Roman"/>
          <w:szCs w:val="24"/>
          <w:lang w:val="it-IT"/>
        </w:rPr>
        <w:t>(T</w:t>
      </w:r>
      <w:r w:rsidRPr="00387416">
        <w:rPr>
          <w:rFonts w:cs="Times New Roman"/>
          <w:szCs w:val="24"/>
          <w:lang w:val="it-IT"/>
        </w:rPr>
        <w:t>SH, fT4, T3</w:t>
      </w:r>
      <w:r>
        <w:rPr>
          <w:rFonts w:cs="Times New Roman"/>
          <w:szCs w:val="24"/>
          <w:lang w:val="it-IT"/>
        </w:rPr>
        <w:t>) bình thường.</w:t>
      </w:r>
    </w:p>
    <w:p w14:paraId="18E15492" w14:textId="77777777" w:rsidR="0065481A" w:rsidRDefault="0065481A" w:rsidP="0065481A">
      <w:pPr>
        <w:spacing w:after="0" w:line="240" w:lineRule="auto"/>
        <w:ind w:left="540"/>
        <w:contextualSpacing/>
        <w:rPr>
          <w:rFonts w:cs="Times New Roman"/>
          <w:szCs w:val="24"/>
          <w:lang w:val="it-IT"/>
        </w:rPr>
      </w:pPr>
      <w:r>
        <w:rPr>
          <w:rFonts w:cs="Times New Roman"/>
          <w:b/>
          <w:i/>
          <w:szCs w:val="24"/>
          <w:lang w:val="it-IT"/>
        </w:rPr>
        <w:t xml:space="preserve">Calcitonin: </w:t>
      </w:r>
      <w:r w:rsidRPr="00306FC6">
        <w:rPr>
          <w:rFonts w:ascii="TimesNewRomanPSMT" w:hAnsi="TimesNewRomanPSMT"/>
          <w:color w:val="000000"/>
          <w:szCs w:val="24"/>
        </w:rPr>
        <w:t>Nồng độ Calcitonin có thể giúp xác định sớm carcinôm dạng tủy vì sinh thiết bằng kim nhỏ</w:t>
      </w:r>
      <w:r w:rsidRPr="00306FC6">
        <w:rPr>
          <w:rFonts w:ascii="TimesNewRomanPSMT" w:hAnsi="TimesNewRomanPSMT"/>
          <w:color w:val="000000"/>
          <w:szCs w:val="24"/>
        </w:rPr>
        <w:br/>
        <w:t>(FNA) không phải lúc nào cũng có thể phân biệt giữa carcinôm dạng tủy và tổn thương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306FC6">
        <w:rPr>
          <w:rFonts w:ascii="TimesNewRomanPSMT" w:hAnsi="TimesNewRomanPSMT"/>
          <w:color w:val="000000"/>
          <w:szCs w:val="24"/>
        </w:rPr>
        <w:t>tuyến giáp dạng nang. Tuy nhiên, hướng dẫn thực hành của Hoa Kỳ không bắt buộc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306FC6">
        <w:rPr>
          <w:rFonts w:ascii="TimesNewRomanPSMT" w:hAnsi="TimesNewRomanPSMT"/>
          <w:color w:val="000000"/>
          <w:szCs w:val="24"/>
        </w:rPr>
        <w:t>đo nồng độ calcitonin thường quy cho tất cả hạt giáp, vì sự gia tăng calcitonin còn thấy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306FC6">
        <w:rPr>
          <w:rFonts w:ascii="TimesNewRomanPSMT" w:hAnsi="TimesNewRomanPSMT"/>
          <w:color w:val="000000"/>
          <w:szCs w:val="24"/>
        </w:rPr>
        <w:t xml:space="preserve">trong viêm giáp Hashimoto, người hút thuốc và người có tổn thương thận. </w:t>
      </w:r>
    </w:p>
    <w:p w14:paraId="1776301F" w14:textId="77777777" w:rsidR="0065481A" w:rsidRPr="00935C46" w:rsidRDefault="0065481A" w:rsidP="0065481A">
      <w:pPr>
        <w:spacing w:after="0" w:line="240" w:lineRule="auto"/>
        <w:ind w:left="540"/>
        <w:contextualSpacing/>
        <w:jc w:val="both"/>
        <w:rPr>
          <w:rFonts w:cs="Times New Roman"/>
          <w:szCs w:val="24"/>
          <w:lang w:val="it-IT"/>
        </w:rPr>
      </w:pPr>
      <w:r w:rsidRPr="00387416">
        <w:rPr>
          <w:rFonts w:cs="Times New Roman"/>
          <w:b/>
          <w:i/>
          <w:szCs w:val="24"/>
          <w:lang w:val="it-IT"/>
        </w:rPr>
        <w:t>Siêu âm tuyến giáp</w:t>
      </w:r>
      <w:r>
        <w:rPr>
          <w:rFonts w:cs="Times New Roman"/>
          <w:b/>
          <w:i/>
          <w:szCs w:val="24"/>
          <w:lang w:val="it-IT"/>
        </w:rPr>
        <w:t>:</w:t>
      </w:r>
    </w:p>
    <w:p w14:paraId="2C20C8E4" w14:textId="77777777" w:rsidR="0065481A" w:rsidRPr="000F2C59" w:rsidRDefault="0065481A" w:rsidP="0065481A">
      <w:pPr>
        <w:spacing w:after="0" w:line="240" w:lineRule="auto"/>
        <w:ind w:left="540"/>
        <w:contextualSpacing/>
        <w:rPr>
          <w:rFonts w:cs="Times New Roman"/>
          <w:color w:val="000000"/>
          <w:szCs w:val="24"/>
        </w:rPr>
      </w:pPr>
      <w:r w:rsidRPr="00387416">
        <w:rPr>
          <w:rFonts w:cs="Times New Roman"/>
          <w:color w:val="000000"/>
          <w:szCs w:val="24"/>
        </w:rPr>
        <w:t>‒ Là test có độ nhạy cao nhất giúp phát hiện các tổn thương tuyến giáp</w:t>
      </w:r>
      <w:r w:rsidRPr="00387416">
        <w:rPr>
          <w:rFonts w:cs="Times New Roman"/>
          <w:color w:val="000000"/>
        </w:rPr>
        <w:br/>
      </w:r>
      <w:r w:rsidRPr="00387416">
        <w:rPr>
          <w:rFonts w:cs="Times New Roman"/>
          <w:color w:val="000000"/>
          <w:szCs w:val="24"/>
        </w:rPr>
        <w:t>‒ Giúp xác định kích thước, cấu trúc tuyến giáp và các mô lân cận</w:t>
      </w:r>
      <w:r w:rsidRPr="00387416">
        <w:rPr>
          <w:rFonts w:cs="Times New Roman"/>
          <w:color w:val="000000"/>
        </w:rPr>
        <w:br/>
      </w:r>
      <w:r w:rsidRPr="00387416">
        <w:rPr>
          <w:rFonts w:cs="Times New Roman"/>
          <w:color w:val="000000"/>
          <w:szCs w:val="24"/>
        </w:rPr>
        <w:t>‒ Giúp tầm soát, chẩn đoán và theo dõi điều trị</w:t>
      </w:r>
      <w:r w:rsidRPr="00387416">
        <w:rPr>
          <w:rFonts w:cs="Times New Roman"/>
          <w:color w:val="000000"/>
        </w:rPr>
        <w:br/>
      </w:r>
      <w:r w:rsidRPr="00387416">
        <w:rPr>
          <w:rFonts w:cs="Times New Roman"/>
          <w:color w:val="000000"/>
          <w:szCs w:val="24"/>
        </w:rPr>
        <w:t>‒ Hỗ trợ làm FNA tuyến giáp</w:t>
      </w:r>
      <w:r w:rsidRPr="00387416">
        <w:rPr>
          <w:rFonts w:cs="Times New Roman"/>
          <w:color w:val="000000"/>
        </w:rPr>
        <w:br/>
      </w:r>
      <w:r w:rsidRPr="00387416">
        <w:rPr>
          <w:rFonts w:cs="Times New Roman"/>
          <w:color w:val="000000"/>
          <w:szCs w:val="24"/>
        </w:rPr>
        <w:t>‒ Siêu âm nên được chỉ định ở tất cả các bệnh nhân nghi ngờ có bướu giáp trên khám lâm</w:t>
      </w:r>
      <w:r w:rsidRPr="00387416">
        <w:rPr>
          <w:rFonts w:cs="Times New Roman"/>
          <w:color w:val="000000"/>
        </w:rPr>
        <w:t xml:space="preserve"> </w:t>
      </w:r>
      <w:r w:rsidRPr="00387416">
        <w:rPr>
          <w:rFonts w:cs="Times New Roman"/>
          <w:color w:val="000000"/>
          <w:szCs w:val="24"/>
        </w:rPr>
        <w:t>sàng hay tình cờ bởi các phương tiện chẩn đoán hình ảnh khác như CT scan, MRI, siêu âm</w:t>
      </w:r>
      <w:r w:rsidRPr="00387416">
        <w:rPr>
          <w:rFonts w:cs="Times New Roman"/>
          <w:color w:val="000000"/>
        </w:rPr>
        <w:t xml:space="preserve"> </w:t>
      </w:r>
      <w:r w:rsidRPr="00387416">
        <w:rPr>
          <w:rFonts w:cs="Times New Roman"/>
          <w:color w:val="000000"/>
          <w:szCs w:val="24"/>
        </w:rPr>
        <w:t>Doppler ĐM cảnh các bệnh nhân có nguy cơ ung thư tuyến giáp hay các bệnh nhân có hạch cổ</w:t>
      </w:r>
      <w:r w:rsidRPr="00387416">
        <w:rPr>
          <w:rFonts w:cs="Times New Roman"/>
          <w:color w:val="000000"/>
        </w:rPr>
        <w:t xml:space="preserve"> </w:t>
      </w:r>
      <w:r w:rsidRPr="00387416">
        <w:rPr>
          <w:rFonts w:cs="Times New Roman"/>
          <w:color w:val="000000"/>
          <w:szCs w:val="24"/>
        </w:rPr>
        <w:t>nghi ngờ ác tính. Tuy nhiên, siêu âm không được khuyến cáo như là test tầm soát trên dân số</w:t>
      </w:r>
      <w:r w:rsidRPr="00387416">
        <w:rPr>
          <w:rFonts w:cs="Times New Roman"/>
          <w:color w:val="000000"/>
        </w:rPr>
        <w:t xml:space="preserve"> </w:t>
      </w:r>
      <w:r w:rsidRPr="00387416">
        <w:rPr>
          <w:rFonts w:cs="Times New Roman"/>
          <w:color w:val="000000"/>
          <w:szCs w:val="24"/>
        </w:rPr>
        <w:t>chung.</w:t>
      </w:r>
      <w:r w:rsidRPr="00387416">
        <w:rPr>
          <w:rFonts w:cs="Times New Roman"/>
          <w:color w:val="000000"/>
        </w:rPr>
        <w:br/>
      </w:r>
      <w:proofErr w:type="gramStart"/>
      <w:r w:rsidRPr="000F2C59">
        <w:rPr>
          <w:rFonts w:cs="Times New Roman"/>
          <w:color w:val="000000"/>
          <w:szCs w:val="24"/>
        </w:rPr>
        <w:t>‒  Các</w:t>
      </w:r>
      <w:proofErr w:type="gramEnd"/>
      <w:r w:rsidRPr="000F2C59">
        <w:rPr>
          <w:rFonts w:cs="Times New Roman"/>
          <w:color w:val="000000"/>
          <w:szCs w:val="24"/>
        </w:rPr>
        <w:t xml:space="preserve"> đặc điểm ghi nhận trên siêu âm được ghi nhận cẩn thận đối với từng hạt giáp </w:t>
      </w:r>
      <w:r w:rsidRPr="000F2C59">
        <w:rPr>
          <w:rFonts w:cs="Times New Roman"/>
          <w:color w:val="000000"/>
          <w:szCs w:val="24"/>
        </w:rPr>
        <w:lastRenderedPageBreak/>
        <w:t xml:space="preserve">phát hiện được, gồm: độ phản âm, tăng sinh mạch máu, đường bờ, có vôi hóa không, và kích thước. Kết quả siêu âm được đánh giá </w:t>
      </w:r>
      <w:r>
        <w:rPr>
          <w:rFonts w:cs="Times New Roman"/>
          <w:color w:val="000000"/>
          <w:szCs w:val="24"/>
        </w:rPr>
        <w:t xml:space="preserve">khả năng ác tính </w:t>
      </w:r>
      <w:r w:rsidRPr="000F2C59">
        <w:rPr>
          <w:rFonts w:cs="Times New Roman"/>
          <w:color w:val="000000"/>
          <w:szCs w:val="24"/>
        </w:rPr>
        <w:t>theo thang điểm TIRADS</w:t>
      </w:r>
    </w:p>
    <w:p w14:paraId="00C78C14" w14:textId="77777777" w:rsidR="0065481A" w:rsidRDefault="0065481A" w:rsidP="0065481A">
      <w:pPr>
        <w:spacing w:after="0" w:line="240" w:lineRule="auto"/>
        <w:ind w:left="540"/>
        <w:contextualSpacing/>
        <w:rPr>
          <w:rFonts w:cs="Times New Roman"/>
          <w:b/>
          <w:i/>
          <w:szCs w:val="24"/>
          <w:lang w:val="it-IT"/>
        </w:rPr>
      </w:pPr>
      <w:r w:rsidRPr="00387416">
        <w:rPr>
          <w:rFonts w:cs="Times New Roman"/>
          <w:b/>
          <w:i/>
          <w:szCs w:val="24"/>
          <w:lang w:val="it-IT"/>
        </w:rPr>
        <w:t xml:space="preserve">FNA </w:t>
      </w:r>
      <w:r>
        <w:rPr>
          <w:rFonts w:cs="Times New Roman"/>
          <w:b/>
          <w:i/>
          <w:szCs w:val="24"/>
          <w:lang w:val="it-IT"/>
        </w:rPr>
        <w:t>tuyến</w:t>
      </w:r>
      <w:r w:rsidRPr="00387416">
        <w:rPr>
          <w:rFonts w:cs="Times New Roman"/>
          <w:b/>
          <w:i/>
          <w:szCs w:val="24"/>
          <w:lang w:val="it-IT"/>
        </w:rPr>
        <w:t xml:space="preserve"> giáp:</w:t>
      </w:r>
    </w:p>
    <w:p w14:paraId="0255860E" w14:textId="77777777" w:rsidR="0065481A" w:rsidRPr="00306FC6" w:rsidRDefault="0065481A" w:rsidP="0065481A">
      <w:pPr>
        <w:spacing w:after="0" w:line="240" w:lineRule="auto"/>
        <w:ind w:left="540"/>
        <w:contextualSpacing/>
        <w:rPr>
          <w:rFonts w:cs="Times New Roman"/>
          <w:szCs w:val="24"/>
          <w:lang w:val="it-IT"/>
        </w:rPr>
      </w:pPr>
      <w:r w:rsidRPr="00306FC6">
        <w:rPr>
          <w:rFonts w:ascii="TimesNewRomanPSMT" w:hAnsi="TimesNewRomanPSMT"/>
          <w:color w:val="000000"/>
          <w:szCs w:val="24"/>
        </w:rPr>
        <w:t>FNA có thể thực hiện qua sờ nắn trực tiếp nhân giáp, hoặc theo cách đã thành tiêu chuẩn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306FC6">
        <w:rPr>
          <w:rFonts w:ascii="TimesNewRomanPSMT" w:hAnsi="TimesNewRomanPSMT"/>
          <w:color w:val="000000"/>
          <w:szCs w:val="24"/>
        </w:rPr>
        <w:t xml:space="preserve">ngày nay là dưới hướng dẫn của siêu âm. </w:t>
      </w:r>
    </w:p>
    <w:p w14:paraId="26046FB3" w14:textId="77777777" w:rsidR="0065481A" w:rsidRPr="00F74CDF" w:rsidRDefault="0065481A" w:rsidP="0065481A">
      <w:pPr>
        <w:spacing w:after="0" w:line="240" w:lineRule="auto"/>
        <w:ind w:left="540"/>
        <w:contextualSpacing/>
        <w:rPr>
          <w:rFonts w:ascii="TimesNewRomanPSMT" w:hAnsi="TimesNewRomanPSMT"/>
          <w:color w:val="000000"/>
        </w:rPr>
      </w:pPr>
      <w:r w:rsidRPr="00387416">
        <w:rPr>
          <w:rFonts w:ascii="Segoe UI Symbol" w:hAnsi="Segoe UI Symbol" w:cs="Segoe UI Symbol"/>
          <w:color w:val="000000"/>
          <w:szCs w:val="24"/>
        </w:rPr>
        <w:t>❖</w:t>
      </w:r>
      <w:r w:rsidRPr="00387416">
        <w:rPr>
          <w:rFonts w:ascii="Wingdings-Regular" w:hAnsi="Wingdings-Regular"/>
          <w:color w:val="000000"/>
          <w:szCs w:val="24"/>
        </w:rPr>
        <w:t xml:space="preserve"> </w:t>
      </w:r>
      <w:r w:rsidRPr="00387416">
        <w:rPr>
          <w:rFonts w:ascii="TimesNewRomanPSMT" w:hAnsi="TimesNewRomanPSMT"/>
          <w:color w:val="000000"/>
          <w:szCs w:val="24"/>
        </w:rPr>
        <w:t xml:space="preserve">FNA tuyến giáp được khuyến cáo cho </w:t>
      </w:r>
      <w:r>
        <w:rPr>
          <w:rFonts w:ascii="TimesNewRomanPSMT" w:hAnsi="TimesNewRomanPSMT"/>
          <w:color w:val="000000"/>
          <w:szCs w:val="24"/>
        </w:rPr>
        <w:t xml:space="preserve">các </w:t>
      </w:r>
      <w:r w:rsidRPr="00387416">
        <w:rPr>
          <w:rFonts w:ascii="TimesNewRomanPSMT" w:hAnsi="TimesNewRomanPSMT"/>
          <w:color w:val="000000"/>
          <w:szCs w:val="24"/>
        </w:rPr>
        <w:t>nhân giáp</w:t>
      </w:r>
      <w:r>
        <w:rPr>
          <w:rFonts w:ascii="TimesNewRomanPSMT" w:hAnsi="TimesNewRomanPSMT"/>
          <w:color w:val="000000"/>
          <w:szCs w:val="24"/>
        </w:rPr>
        <w:t xml:space="preserve"> dựa trên thang điểm TIRADS theo siêu âm</w:t>
      </w:r>
      <w:r w:rsidRPr="00387416">
        <w:rPr>
          <w:rFonts w:ascii="TimesNewRomanPSMT" w:hAnsi="TimesNewRomanPSMT"/>
          <w:color w:val="000000"/>
          <w:szCs w:val="24"/>
        </w:rPr>
        <w:t>:</w:t>
      </w:r>
    </w:p>
    <w:p w14:paraId="133DF63D" w14:textId="77777777" w:rsidR="0065481A" w:rsidRDefault="0065481A" w:rsidP="0065481A">
      <w:pPr>
        <w:spacing w:after="0" w:line="240" w:lineRule="auto"/>
        <w:ind w:left="540"/>
        <w:contextualSpacing/>
        <w:jc w:val="center"/>
        <w:rPr>
          <w:rFonts w:ascii="TimesNewRomanPSMT" w:hAnsi="TimesNewRomanPSMT"/>
          <w:color w:val="000000"/>
          <w:szCs w:val="24"/>
        </w:rPr>
      </w:pPr>
    </w:p>
    <w:p w14:paraId="4B1C42EF" w14:textId="77777777" w:rsidR="0065481A" w:rsidRDefault="0065481A" w:rsidP="0065481A">
      <w:pPr>
        <w:spacing w:after="0" w:line="240" w:lineRule="auto"/>
        <w:ind w:left="540"/>
        <w:contextualSpacing/>
        <w:jc w:val="center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color w:val="000000"/>
          <w:szCs w:val="24"/>
        </w:rPr>
        <w:t>Chỉ định làm FNA tuyến giáp dựa trên TIRADS theo siêu âm.</w:t>
      </w:r>
    </w:p>
    <w:tbl>
      <w:tblPr>
        <w:tblStyle w:val="TableGrid"/>
        <w:tblW w:w="2695" w:type="pct"/>
        <w:tblInd w:w="2547" w:type="dxa"/>
        <w:tblLook w:val="04A0" w:firstRow="1" w:lastRow="0" w:firstColumn="1" w:lastColumn="0" w:noHBand="0" w:noVBand="1"/>
      </w:tblPr>
      <w:tblGrid>
        <w:gridCol w:w="1123"/>
        <w:gridCol w:w="2292"/>
        <w:gridCol w:w="1445"/>
      </w:tblGrid>
      <w:tr w:rsidR="0065481A" w14:paraId="7B32CCD2" w14:textId="77777777" w:rsidTr="00F80961">
        <w:tc>
          <w:tcPr>
            <w:tcW w:w="990" w:type="pct"/>
          </w:tcPr>
          <w:p w14:paraId="1640B8EF" w14:textId="77777777" w:rsidR="0065481A" w:rsidRPr="004F6004" w:rsidRDefault="0065481A" w:rsidP="00F80961">
            <w:pPr>
              <w:contextualSpacing/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4F600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TIRADS</w:t>
            </w:r>
          </w:p>
        </w:tc>
        <w:tc>
          <w:tcPr>
            <w:tcW w:w="2441" w:type="pct"/>
          </w:tcPr>
          <w:p w14:paraId="4C036C69" w14:textId="77777777" w:rsidR="0065481A" w:rsidRPr="004F6004" w:rsidRDefault="0065481A" w:rsidP="00F80961">
            <w:pPr>
              <w:contextualSpacing/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4F600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Phân loại</w:t>
            </w:r>
          </w:p>
        </w:tc>
        <w:tc>
          <w:tcPr>
            <w:tcW w:w="1569" w:type="pct"/>
          </w:tcPr>
          <w:p w14:paraId="3A62CBD7" w14:textId="77777777" w:rsidR="0065481A" w:rsidRPr="004F6004" w:rsidRDefault="0065481A" w:rsidP="00F80961">
            <w:pPr>
              <w:contextualSpacing/>
              <w:jc w:val="center"/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</w:pPr>
            <w:r w:rsidRPr="004F6004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Chỉ định FNA</w:t>
            </w:r>
          </w:p>
        </w:tc>
      </w:tr>
      <w:tr w:rsidR="0065481A" w14:paraId="6FDA66DD" w14:textId="77777777" w:rsidTr="00F80961">
        <w:tc>
          <w:tcPr>
            <w:tcW w:w="990" w:type="pct"/>
          </w:tcPr>
          <w:p w14:paraId="66E88CB2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1" w:type="pct"/>
          </w:tcPr>
          <w:p w14:paraId="026A84F9" w14:textId="77777777" w:rsidR="0065481A" w:rsidRDefault="0065481A" w:rsidP="00F80961">
            <w:pPr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Lành tính</w:t>
            </w:r>
          </w:p>
        </w:tc>
        <w:tc>
          <w:tcPr>
            <w:tcW w:w="1569" w:type="pct"/>
          </w:tcPr>
          <w:p w14:paraId="4B7C050B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Không</w:t>
            </w:r>
          </w:p>
        </w:tc>
      </w:tr>
      <w:tr w:rsidR="0065481A" w14:paraId="5D58562F" w14:textId="77777777" w:rsidTr="00F80961">
        <w:tc>
          <w:tcPr>
            <w:tcW w:w="990" w:type="pct"/>
          </w:tcPr>
          <w:p w14:paraId="28A92466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pct"/>
          </w:tcPr>
          <w:p w14:paraId="7BE6171F" w14:textId="77777777" w:rsidR="0065481A" w:rsidRDefault="0065481A" w:rsidP="00F80961">
            <w:pPr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Không nghi ngờ</w:t>
            </w:r>
          </w:p>
        </w:tc>
        <w:tc>
          <w:tcPr>
            <w:tcW w:w="1569" w:type="pct"/>
          </w:tcPr>
          <w:p w14:paraId="4511F7B3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Không </w:t>
            </w:r>
          </w:p>
        </w:tc>
      </w:tr>
      <w:tr w:rsidR="0065481A" w14:paraId="05C4E1DC" w14:textId="77777777" w:rsidTr="00F80961">
        <w:tc>
          <w:tcPr>
            <w:tcW w:w="990" w:type="pct"/>
          </w:tcPr>
          <w:p w14:paraId="20EF1FD8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pct"/>
          </w:tcPr>
          <w:p w14:paraId="10A561FC" w14:textId="77777777" w:rsidR="0065481A" w:rsidRDefault="0065481A" w:rsidP="00F80961">
            <w:pPr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Nghi ngờ ít</w:t>
            </w:r>
          </w:p>
        </w:tc>
        <w:tc>
          <w:tcPr>
            <w:tcW w:w="1569" w:type="pct"/>
          </w:tcPr>
          <w:p w14:paraId="33ACC316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2,5cm</w:t>
            </w:r>
          </w:p>
        </w:tc>
      </w:tr>
      <w:tr w:rsidR="0065481A" w14:paraId="42D46EA0" w14:textId="77777777" w:rsidTr="00F80961">
        <w:tc>
          <w:tcPr>
            <w:tcW w:w="990" w:type="pct"/>
          </w:tcPr>
          <w:p w14:paraId="6D19779B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pct"/>
          </w:tcPr>
          <w:p w14:paraId="050E687A" w14:textId="77777777" w:rsidR="0065481A" w:rsidRDefault="0065481A" w:rsidP="00F80961">
            <w:pPr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Nghi ngờ trung bình</w:t>
            </w:r>
          </w:p>
        </w:tc>
        <w:tc>
          <w:tcPr>
            <w:tcW w:w="1569" w:type="pct"/>
          </w:tcPr>
          <w:p w14:paraId="14CACAD8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1,5cm</w:t>
            </w:r>
          </w:p>
        </w:tc>
      </w:tr>
      <w:tr w:rsidR="0065481A" w14:paraId="7B119A11" w14:textId="77777777" w:rsidTr="00F80961">
        <w:tc>
          <w:tcPr>
            <w:tcW w:w="990" w:type="pct"/>
          </w:tcPr>
          <w:p w14:paraId="6AA4C5C4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1" w:type="pct"/>
          </w:tcPr>
          <w:p w14:paraId="4E43E1A5" w14:textId="77777777" w:rsidR="0065481A" w:rsidRDefault="0065481A" w:rsidP="00F80961">
            <w:pPr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Rất nghi ngờ</w:t>
            </w:r>
          </w:p>
        </w:tc>
        <w:tc>
          <w:tcPr>
            <w:tcW w:w="1569" w:type="pct"/>
          </w:tcPr>
          <w:p w14:paraId="1D3450EF" w14:textId="77777777" w:rsidR="0065481A" w:rsidRDefault="0065481A" w:rsidP="00F80961">
            <w:pPr>
              <w:contextualSpacing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1cm</w:t>
            </w:r>
          </w:p>
        </w:tc>
      </w:tr>
    </w:tbl>
    <w:p w14:paraId="6D5075AF" w14:textId="77777777" w:rsidR="0065481A" w:rsidRDefault="0065481A" w:rsidP="0065481A">
      <w:pPr>
        <w:spacing w:after="0" w:line="240" w:lineRule="auto"/>
        <w:ind w:left="540"/>
        <w:contextualSpacing/>
        <w:jc w:val="center"/>
        <w:rPr>
          <w:rFonts w:ascii="TimesNewRomanPSMT" w:hAnsi="TimesNewRomanPSMT"/>
          <w:color w:val="000000"/>
          <w:szCs w:val="24"/>
        </w:rPr>
      </w:pPr>
    </w:p>
    <w:p w14:paraId="42BFAFFD" w14:textId="77777777" w:rsidR="0065481A" w:rsidRDefault="0065481A" w:rsidP="0065481A">
      <w:pPr>
        <w:spacing w:after="0" w:line="240" w:lineRule="auto"/>
        <w:ind w:left="540"/>
        <w:contextualSpacing/>
        <w:rPr>
          <w:rFonts w:ascii="TimesNewRomanPSMT" w:hAnsi="TimesNewRomanPSMT"/>
          <w:color w:val="000000"/>
          <w:szCs w:val="24"/>
        </w:rPr>
      </w:pPr>
      <w:r w:rsidRPr="00387416">
        <w:rPr>
          <w:rFonts w:ascii="Segoe UI Symbol" w:hAnsi="Segoe UI Symbol" w:cs="Segoe UI Symbol"/>
          <w:color w:val="000000"/>
          <w:szCs w:val="24"/>
        </w:rPr>
        <w:t>❖</w:t>
      </w:r>
      <w:r w:rsidRPr="00387416">
        <w:rPr>
          <w:rFonts w:ascii="Wingdings-Regular" w:hAnsi="Wingdings-Regular"/>
          <w:color w:val="000000"/>
          <w:szCs w:val="24"/>
        </w:rPr>
        <w:t xml:space="preserve"> </w:t>
      </w:r>
      <w:r w:rsidRPr="00387416">
        <w:rPr>
          <w:rFonts w:ascii="TimesNewRomanPSMT" w:hAnsi="TimesNewRomanPSMT"/>
          <w:color w:val="000000"/>
          <w:szCs w:val="24"/>
        </w:rPr>
        <w:t xml:space="preserve">Kết quả FNA tuyến giáp chia làm </w:t>
      </w:r>
      <w:r>
        <w:rPr>
          <w:rFonts w:ascii="TimesNewRomanPSMT" w:hAnsi="TimesNewRomanPSMT"/>
          <w:color w:val="000000"/>
          <w:szCs w:val="24"/>
        </w:rPr>
        <w:t>6</w:t>
      </w:r>
      <w:r w:rsidRPr="00387416">
        <w:rPr>
          <w:rFonts w:ascii="TimesNewRomanPSMT" w:hAnsi="TimesNewRomanPSMT"/>
          <w:color w:val="000000"/>
          <w:szCs w:val="24"/>
        </w:rPr>
        <w:t xml:space="preserve"> nhóm</w:t>
      </w:r>
      <w:r>
        <w:rPr>
          <w:rFonts w:ascii="TimesNewRomanPSMT" w:hAnsi="TimesNewRomanPSMT"/>
          <w:color w:val="000000"/>
          <w:szCs w:val="24"/>
        </w:rPr>
        <w:t>.</w:t>
      </w:r>
      <w:r w:rsidRPr="00387416">
        <w:rPr>
          <w:rFonts w:ascii="TimesNewRomanPSMT" w:hAnsi="TimesNewRomanPSMT"/>
          <w:color w:val="000000"/>
        </w:rPr>
        <w:br/>
      </w:r>
      <w:r w:rsidRPr="00387416">
        <w:rPr>
          <w:rFonts w:ascii="TimesNewRomanPSMT" w:hAnsi="TimesNewRomanPSMT"/>
          <w:color w:val="000000"/>
          <w:szCs w:val="24"/>
        </w:rPr>
        <w:t xml:space="preserve">‒ Nhóm 1: Không chẩn đoán được (nguy cơ ung thư </w:t>
      </w:r>
      <w:r>
        <w:rPr>
          <w:rFonts w:ascii="TimesNewRomanPSMT" w:hAnsi="TimesNewRomanPSMT"/>
          <w:color w:val="000000"/>
          <w:szCs w:val="24"/>
        </w:rPr>
        <w:t>5</w:t>
      </w:r>
      <w:r w:rsidRPr="00387416">
        <w:rPr>
          <w:rFonts w:ascii="TimesNewRomanPSMT" w:hAnsi="TimesNewRomanPSMT"/>
          <w:color w:val="000000"/>
          <w:szCs w:val="24"/>
        </w:rPr>
        <w:t xml:space="preserve"> - </w:t>
      </w:r>
      <w:r>
        <w:rPr>
          <w:rFonts w:ascii="TimesNewRomanPSMT" w:hAnsi="TimesNewRomanPSMT"/>
          <w:color w:val="000000"/>
          <w:szCs w:val="24"/>
        </w:rPr>
        <w:t>10</w:t>
      </w:r>
      <w:r w:rsidRPr="00387416">
        <w:rPr>
          <w:rFonts w:ascii="TimesNewRomanPSMT" w:hAnsi="TimesNewRomanPSMT"/>
          <w:color w:val="000000"/>
          <w:szCs w:val="24"/>
        </w:rPr>
        <w:t>%)</w:t>
      </w:r>
      <w:r w:rsidRPr="00387416">
        <w:rPr>
          <w:rFonts w:ascii="TimesNewRomanPSMT" w:hAnsi="TimesNewRomanPSMT"/>
          <w:color w:val="000000"/>
        </w:rPr>
        <w:br/>
      </w:r>
      <w:r w:rsidRPr="00387416">
        <w:rPr>
          <w:rFonts w:ascii="TimesNewRomanPSMT" w:hAnsi="TimesNewRomanPSMT"/>
          <w:color w:val="000000"/>
          <w:szCs w:val="24"/>
        </w:rPr>
        <w:t xml:space="preserve">‒ Nhóm 2: Lành tính (nguy cơ ung thư </w:t>
      </w:r>
      <w:r>
        <w:rPr>
          <w:rFonts w:ascii="TimesNewRomanPSMT" w:hAnsi="TimesNewRomanPSMT"/>
          <w:color w:val="000000"/>
          <w:szCs w:val="24"/>
        </w:rPr>
        <w:t>0 - 3</w:t>
      </w:r>
      <w:r w:rsidRPr="00387416">
        <w:rPr>
          <w:rFonts w:ascii="TimesNewRomanPSMT" w:hAnsi="TimesNewRomanPSMT"/>
          <w:color w:val="000000"/>
          <w:szCs w:val="24"/>
        </w:rPr>
        <w:t>%)</w:t>
      </w:r>
      <w:r w:rsidRPr="00387416">
        <w:rPr>
          <w:rFonts w:ascii="TimesNewRomanPSMT" w:hAnsi="TimesNewRomanPSMT"/>
          <w:color w:val="000000"/>
        </w:rPr>
        <w:br/>
      </w:r>
      <w:r w:rsidRPr="00387416">
        <w:rPr>
          <w:rFonts w:ascii="TimesNewRomanPSMT" w:hAnsi="TimesNewRomanPSMT"/>
          <w:color w:val="000000"/>
          <w:szCs w:val="24"/>
        </w:rPr>
        <w:t xml:space="preserve">‒ Nhóm 3: Tổn thương dạng nang </w:t>
      </w:r>
      <w:r>
        <w:rPr>
          <w:rFonts w:ascii="TimesNewRomanPSMT" w:hAnsi="TimesNewRomanPSMT"/>
          <w:color w:val="000000"/>
          <w:szCs w:val="24"/>
        </w:rPr>
        <w:t xml:space="preserve">hoặc không điển hình </w:t>
      </w:r>
      <w:r w:rsidRPr="00387416">
        <w:rPr>
          <w:rFonts w:ascii="TimesNewRomanPSMT" w:hAnsi="TimesNewRomanPSMT"/>
          <w:color w:val="000000"/>
          <w:szCs w:val="24"/>
        </w:rPr>
        <w:t xml:space="preserve">(nguy cơ ung thư </w:t>
      </w:r>
      <w:r>
        <w:rPr>
          <w:rFonts w:ascii="TimesNewRomanPSMT" w:hAnsi="TimesNewRomanPSMT"/>
          <w:color w:val="000000"/>
          <w:szCs w:val="24"/>
        </w:rPr>
        <w:t>10</w:t>
      </w:r>
      <w:r w:rsidRPr="00387416">
        <w:rPr>
          <w:rFonts w:ascii="TimesNewRomanPSMT" w:hAnsi="TimesNewRomanPSMT"/>
          <w:color w:val="000000"/>
          <w:szCs w:val="24"/>
        </w:rPr>
        <w:t xml:space="preserve"> - </w:t>
      </w:r>
      <w:r>
        <w:rPr>
          <w:rFonts w:ascii="TimesNewRomanPSMT" w:hAnsi="TimesNewRomanPSMT"/>
          <w:color w:val="000000"/>
          <w:szCs w:val="24"/>
        </w:rPr>
        <w:t>30</w:t>
      </w:r>
      <w:r w:rsidRPr="00387416">
        <w:rPr>
          <w:rFonts w:ascii="TimesNewRomanPSMT" w:hAnsi="TimesNewRomanPSMT"/>
          <w:color w:val="000000"/>
          <w:szCs w:val="24"/>
        </w:rPr>
        <w:t>%)</w:t>
      </w:r>
    </w:p>
    <w:p w14:paraId="4ECF48A9" w14:textId="77777777" w:rsidR="0065481A" w:rsidRDefault="0065481A" w:rsidP="0065481A">
      <w:pPr>
        <w:spacing w:after="0" w:line="240" w:lineRule="auto"/>
        <w:ind w:left="540"/>
        <w:contextualSpacing/>
        <w:rPr>
          <w:rFonts w:ascii="TimesNewRomanPSMT" w:hAnsi="TimesNewRomanPSMT"/>
          <w:color w:val="000000"/>
          <w:szCs w:val="24"/>
        </w:rPr>
      </w:pPr>
      <w:r w:rsidRPr="00387416">
        <w:rPr>
          <w:rFonts w:ascii="TimesNewRomanPSMT" w:hAnsi="TimesNewRomanPSMT"/>
          <w:color w:val="000000"/>
          <w:szCs w:val="24"/>
        </w:rPr>
        <w:t xml:space="preserve">‒ Nhóm </w:t>
      </w:r>
      <w:r>
        <w:rPr>
          <w:rFonts w:ascii="TimesNewRomanPSMT" w:hAnsi="TimesNewRomanPSMT"/>
          <w:color w:val="000000"/>
          <w:szCs w:val="24"/>
        </w:rPr>
        <w:t>4</w:t>
      </w:r>
      <w:r w:rsidRPr="00387416">
        <w:rPr>
          <w:rFonts w:ascii="TimesNewRomanPSMT" w:hAnsi="TimesNewRomanPSMT"/>
          <w:color w:val="000000"/>
          <w:szCs w:val="24"/>
        </w:rPr>
        <w:t xml:space="preserve">: </w:t>
      </w:r>
      <w:r>
        <w:rPr>
          <w:rFonts w:ascii="TimesNewRomanPSMT" w:hAnsi="TimesNewRomanPSMT"/>
          <w:color w:val="000000"/>
          <w:szCs w:val="24"/>
        </w:rPr>
        <w:t>Bướu</w:t>
      </w:r>
      <w:r w:rsidRPr="00387416">
        <w:rPr>
          <w:rFonts w:ascii="TimesNewRomanPSMT" w:hAnsi="TimesNewRomanPSMT"/>
          <w:color w:val="000000"/>
          <w:szCs w:val="24"/>
        </w:rPr>
        <w:t xml:space="preserve"> dạng nang </w:t>
      </w:r>
      <w:r>
        <w:rPr>
          <w:rFonts w:ascii="TimesNewRomanPSMT" w:hAnsi="TimesNewRomanPSMT"/>
          <w:color w:val="000000"/>
          <w:szCs w:val="24"/>
        </w:rPr>
        <w:t xml:space="preserve">hoặc nghi ngờ bướu dạng nang </w:t>
      </w:r>
      <w:r w:rsidRPr="00387416">
        <w:rPr>
          <w:rFonts w:ascii="TimesNewRomanPSMT" w:hAnsi="TimesNewRomanPSMT"/>
          <w:color w:val="000000"/>
          <w:szCs w:val="24"/>
        </w:rPr>
        <w:t xml:space="preserve">(nguy cơ ung thư </w:t>
      </w:r>
      <w:r>
        <w:rPr>
          <w:rFonts w:ascii="TimesNewRomanPSMT" w:hAnsi="TimesNewRomanPSMT"/>
          <w:color w:val="000000"/>
          <w:szCs w:val="24"/>
        </w:rPr>
        <w:t>2</w:t>
      </w:r>
      <w:r w:rsidRPr="00387416">
        <w:rPr>
          <w:rFonts w:ascii="TimesNewRomanPSMT" w:hAnsi="TimesNewRomanPSMT"/>
          <w:color w:val="000000"/>
          <w:szCs w:val="24"/>
        </w:rPr>
        <w:t xml:space="preserve">5 - </w:t>
      </w:r>
      <w:r>
        <w:rPr>
          <w:rFonts w:ascii="TimesNewRomanPSMT" w:hAnsi="TimesNewRomanPSMT"/>
          <w:color w:val="000000"/>
          <w:szCs w:val="24"/>
        </w:rPr>
        <w:t>40</w:t>
      </w:r>
      <w:r w:rsidRPr="00387416">
        <w:rPr>
          <w:rFonts w:ascii="TimesNewRomanPSMT" w:hAnsi="TimesNewRomanPSMT"/>
          <w:color w:val="000000"/>
          <w:szCs w:val="24"/>
        </w:rPr>
        <w:t>%)</w:t>
      </w:r>
      <w:r w:rsidRPr="00387416">
        <w:rPr>
          <w:rFonts w:ascii="TimesNewRomanPSMT" w:hAnsi="TimesNewRomanPSMT"/>
          <w:color w:val="000000"/>
        </w:rPr>
        <w:br/>
      </w:r>
      <w:r w:rsidRPr="00387416">
        <w:rPr>
          <w:rFonts w:ascii="TimesNewRomanPSMT" w:hAnsi="TimesNewRomanPSMT"/>
          <w:color w:val="000000"/>
          <w:szCs w:val="24"/>
        </w:rPr>
        <w:t xml:space="preserve">‒ Nhóm </w:t>
      </w:r>
      <w:r>
        <w:rPr>
          <w:rFonts w:ascii="TimesNewRomanPSMT" w:hAnsi="TimesNewRomanPSMT"/>
          <w:color w:val="000000"/>
          <w:szCs w:val="24"/>
        </w:rPr>
        <w:t>5</w:t>
      </w:r>
      <w:r w:rsidRPr="00387416">
        <w:rPr>
          <w:rFonts w:ascii="TimesNewRomanPSMT" w:hAnsi="TimesNewRomanPSMT"/>
          <w:color w:val="000000"/>
          <w:szCs w:val="24"/>
        </w:rPr>
        <w:t xml:space="preserve">: Nghi ngờ ác tính (nguy cơ ác ung thư </w:t>
      </w:r>
      <w:r>
        <w:rPr>
          <w:rFonts w:ascii="TimesNewRomanPSMT" w:hAnsi="TimesNewRomanPSMT"/>
          <w:color w:val="000000"/>
          <w:szCs w:val="24"/>
        </w:rPr>
        <w:t>5</w:t>
      </w:r>
      <w:r w:rsidRPr="00387416">
        <w:rPr>
          <w:rFonts w:ascii="TimesNewRomanPSMT" w:hAnsi="TimesNewRomanPSMT"/>
          <w:color w:val="000000"/>
          <w:szCs w:val="24"/>
        </w:rPr>
        <w:t>0 - 75%)</w:t>
      </w:r>
      <w:r w:rsidRPr="00387416">
        <w:rPr>
          <w:rFonts w:ascii="TimesNewRomanPSMT" w:hAnsi="TimesNewRomanPSMT"/>
          <w:color w:val="000000"/>
        </w:rPr>
        <w:br/>
      </w:r>
      <w:r w:rsidRPr="00387416">
        <w:rPr>
          <w:rFonts w:ascii="TimesNewRomanPSMT" w:hAnsi="TimesNewRomanPSMT"/>
          <w:color w:val="000000"/>
          <w:szCs w:val="24"/>
        </w:rPr>
        <w:t xml:space="preserve">‒ Nhóm </w:t>
      </w:r>
      <w:r>
        <w:rPr>
          <w:rFonts w:ascii="TimesNewRomanPSMT" w:hAnsi="TimesNewRomanPSMT"/>
          <w:color w:val="000000"/>
          <w:szCs w:val="24"/>
        </w:rPr>
        <w:t>6</w:t>
      </w:r>
      <w:r w:rsidRPr="00387416">
        <w:rPr>
          <w:rFonts w:ascii="TimesNewRomanPSMT" w:hAnsi="TimesNewRomanPSMT"/>
          <w:color w:val="000000"/>
          <w:szCs w:val="24"/>
        </w:rPr>
        <w:t>: Ác tính (nguy cơ ung thư 9</w:t>
      </w:r>
      <w:r>
        <w:rPr>
          <w:rFonts w:ascii="TimesNewRomanPSMT" w:hAnsi="TimesNewRomanPSMT"/>
          <w:color w:val="000000"/>
          <w:szCs w:val="24"/>
        </w:rPr>
        <w:t>7 - 99</w:t>
      </w:r>
      <w:r w:rsidRPr="00387416">
        <w:rPr>
          <w:rFonts w:ascii="TimesNewRomanPSMT" w:hAnsi="TimesNewRomanPSMT"/>
          <w:color w:val="000000"/>
          <w:szCs w:val="24"/>
        </w:rPr>
        <w:t>%)</w:t>
      </w:r>
      <w:r>
        <w:rPr>
          <w:rFonts w:ascii="TimesNewRomanPSMT" w:hAnsi="TimesNewRomanPSMT"/>
          <w:color w:val="000000"/>
          <w:szCs w:val="24"/>
        </w:rPr>
        <w:t>.</w:t>
      </w:r>
    </w:p>
    <w:p w14:paraId="01236DBD" w14:textId="77777777" w:rsidR="0065481A" w:rsidRPr="008F6E78" w:rsidRDefault="0065481A" w:rsidP="0065481A">
      <w:pPr>
        <w:spacing w:after="0" w:line="240" w:lineRule="auto"/>
        <w:ind w:left="540"/>
        <w:contextualSpacing/>
        <w:rPr>
          <w:rFonts w:ascii="TimesNewRomanPSMT" w:hAnsi="TimesNewRomanPSMT"/>
          <w:color w:val="000000"/>
          <w:szCs w:val="24"/>
        </w:rPr>
      </w:pPr>
      <w:bookmarkStart w:id="1" w:name="_Hlk113538932"/>
      <w:r w:rsidRPr="008F6E78">
        <w:rPr>
          <w:rFonts w:ascii="TimesNewRomanPSMT" w:hAnsi="TimesNewRomanPSMT"/>
          <w:b/>
          <w:i/>
          <w:color w:val="000000"/>
          <w:szCs w:val="24"/>
        </w:rPr>
        <w:t xml:space="preserve">Các xét nghiệm phân tử: </w:t>
      </w:r>
      <w:r w:rsidRPr="008F6E78">
        <w:rPr>
          <w:rFonts w:ascii="TimesNewRomanPSMT" w:hAnsi="TimesNewRomanPSMT"/>
          <w:color w:val="000000"/>
          <w:szCs w:val="24"/>
        </w:rPr>
        <w:t>Các xét nghiệm phân tử được đề nghị thực hiện khi có kết quả FNA là</w:t>
      </w:r>
      <w:r>
        <w:rPr>
          <w:rFonts w:ascii="TimesNewRomanPSMT" w:hAnsi="TimesNewRomanPSMT"/>
          <w:color w:val="000000"/>
          <w:szCs w:val="24"/>
        </w:rPr>
        <w:t xml:space="preserve"> nhóm 3 và 4</w:t>
      </w:r>
      <w:r w:rsidRPr="008F6E78">
        <w:rPr>
          <w:rFonts w:ascii="TimesNewRomanPSMT" w:hAnsi="TimesNewRomanPSMT"/>
          <w:color w:val="000000"/>
          <w:szCs w:val="24"/>
        </w:rPr>
        <w:t>. Xét nghiệm phân tử có giá trị tiên đoán âm cao, nên được dùng để loại trừ các trường hợp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8F6E78">
        <w:rPr>
          <w:rFonts w:ascii="TimesNewRomanPSMT" w:hAnsi="TimesNewRomanPSMT"/>
          <w:color w:val="000000"/>
          <w:szCs w:val="24"/>
        </w:rPr>
        <w:t>ung thư, nhằm tránh các cuộc phẫu thuật không cần thiết.</w:t>
      </w:r>
    </w:p>
    <w:bookmarkEnd w:id="1"/>
    <w:p w14:paraId="4735A62E" w14:textId="77777777" w:rsidR="0065481A" w:rsidRDefault="0065481A" w:rsidP="0065481A">
      <w:pPr>
        <w:spacing w:after="0" w:line="240" w:lineRule="auto"/>
        <w:ind w:left="540"/>
        <w:contextualSpacing/>
        <w:rPr>
          <w:rFonts w:cs="Times New Roman"/>
          <w:szCs w:val="24"/>
          <w:lang w:val="it-IT"/>
        </w:rPr>
      </w:pPr>
      <w:r w:rsidRPr="00387416">
        <w:rPr>
          <w:rFonts w:cs="Times New Roman"/>
          <w:b/>
          <w:i/>
          <w:szCs w:val="24"/>
          <w:lang w:val="it-IT"/>
        </w:rPr>
        <w:t>CT scan hay MRI vùng cổ, xạ hình tuyến giáp:</w:t>
      </w:r>
      <w:r>
        <w:rPr>
          <w:rFonts w:cs="Times New Roman"/>
          <w:szCs w:val="24"/>
          <w:lang w:val="it-IT"/>
        </w:rPr>
        <w:t xml:space="preserve"> không thực hiện thường quy.</w:t>
      </w:r>
    </w:p>
    <w:p w14:paraId="7035073B" w14:textId="77777777" w:rsidR="0065481A" w:rsidRPr="00387416" w:rsidRDefault="0065481A" w:rsidP="0065481A">
      <w:pPr>
        <w:spacing w:after="0" w:line="240" w:lineRule="auto"/>
        <w:ind w:left="540"/>
        <w:contextualSpacing/>
        <w:rPr>
          <w:rFonts w:cs="Times New Roman"/>
          <w:szCs w:val="24"/>
          <w:lang w:val="it-IT"/>
        </w:rPr>
      </w:pPr>
    </w:p>
    <w:p w14:paraId="3D63438B" w14:textId="77777777" w:rsidR="0065481A" w:rsidRPr="00737F15" w:rsidRDefault="0065481A" w:rsidP="0065481A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Times New Roman"/>
          <w:i/>
          <w:szCs w:val="24"/>
          <w:u w:val="single"/>
          <w:lang w:val="it-IT"/>
        </w:rPr>
      </w:pPr>
      <w:r>
        <w:rPr>
          <w:rFonts w:cs="Times New Roman"/>
          <w:szCs w:val="24"/>
          <w:lang w:val="it-IT"/>
        </w:rPr>
        <w:t xml:space="preserve"> </w:t>
      </w:r>
      <w:r w:rsidRPr="00737F15">
        <w:rPr>
          <w:rFonts w:cs="Times New Roman"/>
          <w:i/>
          <w:szCs w:val="24"/>
          <w:u w:val="single"/>
          <w:lang w:val="it-IT"/>
        </w:rPr>
        <w:t xml:space="preserve">Chẩn đoán </w:t>
      </w:r>
      <w:r>
        <w:rPr>
          <w:rFonts w:cs="Times New Roman"/>
          <w:i/>
          <w:szCs w:val="24"/>
          <w:u w:val="single"/>
          <w:lang w:val="it-IT"/>
        </w:rPr>
        <w:t>xác định</w:t>
      </w:r>
      <w:r w:rsidRPr="00737F15">
        <w:rPr>
          <w:rFonts w:cs="Times New Roman"/>
          <w:i/>
          <w:szCs w:val="24"/>
          <w:u w:val="single"/>
          <w:lang w:val="it-IT"/>
        </w:rPr>
        <w:t>:</w:t>
      </w:r>
    </w:p>
    <w:p w14:paraId="2422EE8F" w14:textId="77777777" w:rsidR="0065481A" w:rsidRPr="00387416" w:rsidRDefault="0065481A" w:rsidP="0065481A">
      <w:pPr>
        <w:spacing w:after="0" w:line="240" w:lineRule="auto"/>
        <w:ind w:firstLine="720"/>
        <w:jc w:val="both"/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t xml:space="preserve">Siêu âm tuyến giáp </w:t>
      </w:r>
      <w:r w:rsidRPr="007D473D">
        <w:rPr>
          <w:rFonts w:cs="Times New Roman"/>
          <w:i/>
          <w:szCs w:val="24"/>
          <w:lang w:val="it-IT"/>
        </w:rPr>
        <w:t>và</w:t>
      </w:r>
      <w:r>
        <w:rPr>
          <w:rFonts w:cs="Times New Roman"/>
          <w:szCs w:val="24"/>
          <w:lang w:val="it-IT"/>
        </w:rPr>
        <w:t xml:space="preserve"> FNA tuyến giáp nghi ngờ ác tính hoặc ác tính</w:t>
      </w:r>
      <w:r w:rsidRPr="00387416">
        <w:rPr>
          <w:rFonts w:cs="Times New Roman"/>
          <w:szCs w:val="24"/>
          <w:lang w:val="it-IT"/>
        </w:rPr>
        <w:t>.</w:t>
      </w:r>
    </w:p>
    <w:p w14:paraId="6B26AD3A" w14:textId="77777777" w:rsidR="0065481A" w:rsidRPr="00737F15" w:rsidRDefault="0065481A" w:rsidP="0065481A">
      <w:pPr>
        <w:pStyle w:val="ListParagraph"/>
        <w:spacing w:after="0" w:line="240" w:lineRule="auto"/>
        <w:ind w:left="1080"/>
        <w:jc w:val="both"/>
        <w:rPr>
          <w:rFonts w:cs="Times New Roman"/>
          <w:szCs w:val="24"/>
          <w:lang w:val="it-IT"/>
        </w:rPr>
      </w:pPr>
    </w:p>
    <w:p w14:paraId="45D07CA3" w14:textId="77777777" w:rsidR="0065481A" w:rsidRDefault="0065481A" w:rsidP="006548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lang w:val="it-IT"/>
        </w:rPr>
      </w:pPr>
      <w:r w:rsidRPr="00BF34B5">
        <w:rPr>
          <w:rFonts w:cs="Times New Roman"/>
          <w:b/>
          <w:szCs w:val="24"/>
          <w:lang w:val="it-IT"/>
        </w:rPr>
        <w:t>ĐIỀU TRỊ:</w:t>
      </w:r>
    </w:p>
    <w:p w14:paraId="6A4A48B6" w14:textId="77777777" w:rsidR="0065481A" w:rsidRPr="00E960E4" w:rsidRDefault="0065481A" w:rsidP="0065481A">
      <w:pPr>
        <w:pStyle w:val="ListParagraph"/>
        <w:numPr>
          <w:ilvl w:val="1"/>
          <w:numId w:val="5"/>
        </w:numPr>
        <w:spacing w:after="200" w:line="240" w:lineRule="auto"/>
        <w:jc w:val="both"/>
        <w:rPr>
          <w:rFonts w:cs="Times New Roman"/>
          <w:i/>
          <w:szCs w:val="24"/>
          <w:u w:val="single"/>
          <w:lang w:val="it-IT"/>
        </w:rPr>
      </w:pPr>
      <w:r>
        <w:rPr>
          <w:rFonts w:cs="Times New Roman"/>
          <w:b/>
          <w:i/>
          <w:szCs w:val="24"/>
          <w:lang w:val="it-IT"/>
        </w:rPr>
        <w:t xml:space="preserve"> </w:t>
      </w:r>
      <w:r>
        <w:rPr>
          <w:rFonts w:cs="Times New Roman"/>
          <w:i/>
          <w:szCs w:val="24"/>
          <w:u w:val="single"/>
          <w:lang w:val="it-IT"/>
        </w:rPr>
        <w:t>Mục tiêu</w:t>
      </w:r>
      <w:r w:rsidRPr="00E960E4">
        <w:rPr>
          <w:rFonts w:cs="Times New Roman"/>
          <w:i/>
          <w:szCs w:val="24"/>
          <w:u w:val="single"/>
          <w:lang w:val="it-IT"/>
        </w:rPr>
        <w:t xml:space="preserve"> điều trị: </w:t>
      </w:r>
    </w:p>
    <w:p w14:paraId="3ED4639B" w14:textId="77777777" w:rsidR="0065481A" w:rsidRPr="00E21B8C" w:rsidRDefault="0065481A" w:rsidP="0065481A">
      <w:pPr>
        <w:pStyle w:val="ListParagraph"/>
        <w:spacing w:after="200" w:line="240" w:lineRule="auto"/>
        <w:ind w:left="567"/>
        <w:rPr>
          <w:rFonts w:eastAsia="Times New Roman" w:cs="Times New Roman"/>
          <w:szCs w:val="24"/>
        </w:rPr>
      </w:pPr>
      <w:r w:rsidRPr="00E21B8C">
        <w:rPr>
          <w:rFonts w:ascii="TimesNewRomanPSMT" w:hAnsi="TimesNewRomanPSMT"/>
          <w:color w:val="000000"/>
          <w:szCs w:val="24"/>
        </w:rPr>
        <w:t>Mục tiêu điều trị ung thư tuyến giáp theo hướng dẫn của ATA năm 2015 là cải thiện sống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21B8C">
        <w:rPr>
          <w:rFonts w:ascii="TimesNewRomanPSMT" w:hAnsi="TimesNewRomanPSMT"/>
          <w:color w:val="000000"/>
          <w:szCs w:val="24"/>
        </w:rPr>
        <w:t xml:space="preserve">còn toàn bộ và sống còn không bệnh, giảm nguy cơ bệnh tồn tại dai dẳng </w:t>
      </w:r>
      <w:r>
        <w:rPr>
          <w:rFonts w:ascii="TimesNewRomanPSMT" w:hAnsi="TimesNewRomanPSMT"/>
          <w:color w:val="000000"/>
          <w:szCs w:val="24"/>
        </w:rPr>
        <w:t xml:space="preserve">hoặc </w:t>
      </w:r>
      <w:r w:rsidRPr="00E21B8C">
        <w:rPr>
          <w:rFonts w:ascii="TimesNewRomanPSMT" w:hAnsi="TimesNewRomanPSMT"/>
          <w:color w:val="000000"/>
          <w:szCs w:val="24"/>
        </w:rPr>
        <w:t>tái phát và các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21B8C">
        <w:rPr>
          <w:rFonts w:ascii="TimesNewRomanPSMT" w:hAnsi="TimesNewRomanPSMT"/>
          <w:color w:val="000000"/>
          <w:szCs w:val="24"/>
        </w:rPr>
        <w:t>biến chứng liên quan, và cho phép đánh giá giai đoạn và phân tầng nguy cơ chính xác, đồng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21B8C">
        <w:rPr>
          <w:rFonts w:ascii="TimesNewRomanPSMT" w:hAnsi="TimesNewRomanPSMT"/>
          <w:color w:val="000000"/>
          <w:szCs w:val="24"/>
        </w:rPr>
        <w:t>thời giảm tối đa các biến chứng liên quan điều trị và các điều trị không cần thiết.</w:t>
      </w:r>
      <w:r w:rsidRPr="00E21B8C">
        <w:rPr>
          <w:rFonts w:ascii="TimesNewRomanPSMT" w:hAnsi="TimesNewRomanPSMT"/>
          <w:color w:val="000000"/>
          <w:szCs w:val="24"/>
        </w:rPr>
        <w:br/>
        <w:t>Mục tiêu cụ thể:</w:t>
      </w:r>
      <w:r w:rsidRPr="00E21B8C">
        <w:rPr>
          <w:rFonts w:ascii="TimesNewRomanPSMT" w:hAnsi="TimesNewRomanPSMT"/>
          <w:color w:val="000000"/>
          <w:szCs w:val="24"/>
        </w:rPr>
        <w:br/>
        <w:t>- Lấy bỏ bướu nguyên phát, và các hạch di căn trên lâm sàng</w:t>
      </w:r>
      <w:r w:rsidRPr="00E21B8C">
        <w:rPr>
          <w:rFonts w:ascii="TimesNewRomanPSMT" w:hAnsi="TimesNewRomanPSMT"/>
          <w:color w:val="000000"/>
          <w:szCs w:val="24"/>
        </w:rPr>
        <w:br/>
        <w:t>- Giảm tối đa nguy cơ tái phát và di căn</w:t>
      </w:r>
      <w:r w:rsidRPr="00E21B8C">
        <w:rPr>
          <w:rFonts w:ascii="TimesNewRomanPSMT" w:hAnsi="TimesNewRomanPSMT"/>
          <w:color w:val="000000"/>
          <w:szCs w:val="24"/>
        </w:rPr>
        <w:br/>
        <w:t>- Tạo điều kiện cho điều trị Iod phóng xạ sau mổ, nếu cần thiết</w:t>
      </w:r>
      <w:r w:rsidRPr="00E21B8C">
        <w:rPr>
          <w:rFonts w:ascii="TimesNewRomanPSMT" w:hAnsi="TimesNewRomanPSMT"/>
          <w:color w:val="000000"/>
          <w:szCs w:val="24"/>
        </w:rPr>
        <w:br/>
        <w:t>- Cho phép đánh giá giai đoạn và phân tầng nguy cơ chính xác</w:t>
      </w:r>
      <w:r w:rsidRPr="00E21B8C">
        <w:rPr>
          <w:rFonts w:ascii="TimesNewRomanPSMT" w:hAnsi="TimesNewRomanPSMT"/>
          <w:color w:val="000000"/>
          <w:szCs w:val="24"/>
        </w:rPr>
        <w:br/>
      </w:r>
      <w:r w:rsidRPr="00E21B8C">
        <w:rPr>
          <w:rFonts w:ascii="TimesNewRomanPSMT" w:hAnsi="TimesNewRomanPSMT"/>
          <w:color w:val="000000"/>
          <w:szCs w:val="24"/>
        </w:rPr>
        <w:lastRenderedPageBreak/>
        <w:t>- Giúp theo dõi lâu dài chính xác nhằm phát hiện bệnh tái phát</w:t>
      </w:r>
      <w:r w:rsidRPr="00E21B8C">
        <w:rPr>
          <w:rFonts w:ascii="TimesNewRomanPSMT" w:hAnsi="TimesNewRomanPSMT"/>
          <w:color w:val="000000"/>
          <w:szCs w:val="24"/>
        </w:rPr>
        <w:br/>
        <w:t>- Giảm tối đa các biến chứng liên quan điều trị.</w:t>
      </w:r>
    </w:p>
    <w:p w14:paraId="74FE03F4" w14:textId="77777777" w:rsidR="0065481A" w:rsidRDefault="0065481A" w:rsidP="0065481A">
      <w:pPr>
        <w:pStyle w:val="ListParagraph"/>
        <w:numPr>
          <w:ilvl w:val="1"/>
          <w:numId w:val="5"/>
        </w:numPr>
        <w:spacing w:after="200" w:line="240" w:lineRule="auto"/>
        <w:jc w:val="both"/>
        <w:rPr>
          <w:rFonts w:eastAsia="Times New Roman" w:cs="Times New Roman"/>
          <w:i/>
          <w:szCs w:val="24"/>
          <w:u w:val="single"/>
        </w:rPr>
      </w:pPr>
      <w:r>
        <w:rPr>
          <w:rFonts w:eastAsia="Times New Roman" w:cs="Times New Roman"/>
          <w:b/>
          <w:i/>
          <w:szCs w:val="24"/>
        </w:rPr>
        <w:t xml:space="preserve"> </w:t>
      </w:r>
      <w:r>
        <w:rPr>
          <w:rFonts w:eastAsia="Times New Roman" w:cs="Times New Roman"/>
          <w:i/>
          <w:szCs w:val="24"/>
          <w:u w:val="single"/>
        </w:rPr>
        <w:t>Phẫu thuật</w:t>
      </w:r>
      <w:r w:rsidRPr="00E960E4">
        <w:rPr>
          <w:rFonts w:eastAsia="Times New Roman" w:cs="Times New Roman"/>
          <w:i/>
          <w:szCs w:val="24"/>
          <w:u w:val="single"/>
        </w:rPr>
        <w:t>:</w:t>
      </w:r>
    </w:p>
    <w:p w14:paraId="4FEA8EE4" w14:textId="77777777" w:rsidR="0065481A" w:rsidRDefault="0065481A" w:rsidP="0065481A">
      <w:pPr>
        <w:pStyle w:val="ListParagraph"/>
        <w:numPr>
          <w:ilvl w:val="0"/>
          <w:numId w:val="9"/>
        </w:numPr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color w:val="000000"/>
          <w:szCs w:val="24"/>
        </w:rPr>
        <w:t>P</w:t>
      </w:r>
      <w:r w:rsidRPr="007D473D">
        <w:rPr>
          <w:rFonts w:ascii="TimesNewRomanPSMT" w:hAnsi="TimesNewRomanPSMT"/>
          <w:color w:val="000000"/>
          <w:szCs w:val="24"/>
        </w:rPr>
        <w:t>hẫu thuật</w:t>
      </w:r>
      <w:r>
        <w:rPr>
          <w:rFonts w:ascii="TimesNewRomanPSMT" w:hAnsi="TimesNewRomanPSMT"/>
          <w:color w:val="000000"/>
          <w:szCs w:val="24"/>
        </w:rPr>
        <w:t xml:space="preserve"> cắt giáp:</w:t>
      </w:r>
    </w:p>
    <w:p w14:paraId="7478A65A" w14:textId="77777777" w:rsidR="0065481A" w:rsidRDefault="0065481A" w:rsidP="0065481A">
      <w:pPr>
        <w:pStyle w:val="ListParagraph"/>
        <w:ind w:left="567"/>
        <w:rPr>
          <w:rFonts w:ascii="TimesNewRomanPSMT" w:hAnsi="TimesNewRomanPSMT"/>
          <w:color w:val="000000"/>
          <w:szCs w:val="24"/>
        </w:rPr>
      </w:pPr>
      <w:r w:rsidRPr="00C61634">
        <w:rPr>
          <w:rFonts w:ascii="TimesNewRomanPSMT" w:hAnsi="TimesNewRomanPSMT"/>
          <w:color w:val="000000"/>
          <w:szCs w:val="24"/>
        </w:rPr>
        <w:t>+</w:t>
      </w:r>
      <w:r>
        <w:rPr>
          <w:rFonts w:ascii="TimesNewRomanPSMT" w:hAnsi="TimesNewRomanPSMT"/>
          <w:color w:val="000000"/>
          <w:szCs w:val="24"/>
        </w:rPr>
        <w:t xml:space="preserve"> Nếu nhân giáp &lt;1cm, không xâm lấn vỏ bao, cN0: cắt thuỳ tuyến giáp. </w:t>
      </w:r>
    </w:p>
    <w:p w14:paraId="5392CF9E" w14:textId="77777777" w:rsidR="0065481A" w:rsidRDefault="0065481A" w:rsidP="0065481A">
      <w:pPr>
        <w:pStyle w:val="ListParagraph"/>
        <w:ind w:left="567"/>
        <w:rPr>
          <w:rFonts w:ascii="TimesNewRomanPSMT" w:hAnsi="TimesNewRomanPSMT"/>
          <w:color w:val="000000"/>
          <w:szCs w:val="24"/>
        </w:rPr>
      </w:pPr>
      <w:r w:rsidRPr="00BE4012">
        <w:rPr>
          <w:rFonts w:ascii="TimesNewRomanPS-ItalicMT" w:hAnsi="TimesNewRomanPS-ItalicMT"/>
          <w:i/>
          <w:iCs/>
          <w:color w:val="000000"/>
          <w:szCs w:val="24"/>
        </w:rPr>
        <w:t>Phẫu thuật cắt thùy giáp</w:t>
      </w:r>
      <w:r w:rsidRPr="00BE4012">
        <w:rPr>
          <w:rFonts w:ascii="TimesNewRomanPSMT" w:hAnsi="TimesNewRomanPSMT"/>
          <w:color w:val="000000"/>
          <w:szCs w:val="24"/>
        </w:rPr>
        <w:t>: là phẫu thuật chỉ lấy đi một thùy của tuyến giáp, bên trái hoặc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E4012">
        <w:rPr>
          <w:rFonts w:ascii="TimesNewRomanPSMT" w:hAnsi="TimesNewRomanPSMT"/>
          <w:color w:val="000000"/>
          <w:szCs w:val="24"/>
        </w:rPr>
        <w:t>bên phải, thường kèm theo vùng eo giáp. Phẫu thuật cắt thùy đơn thuần là điều trị có thể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E4012">
        <w:rPr>
          <w:rFonts w:ascii="TimesNewRomanPSMT" w:hAnsi="TimesNewRomanPSMT"/>
          <w:color w:val="000000"/>
          <w:szCs w:val="24"/>
        </w:rPr>
        <w:t xml:space="preserve">đầy đủ đối với bướu giáp dạng nhú không xâm lấn, kích thước nhỏ, nguy cơ thấp, đơn ổ, không </w:t>
      </w:r>
      <w:r w:rsidRPr="00BE4012">
        <w:rPr>
          <w:rFonts w:ascii="TimesNewRomanPSMT" w:hAnsi="TimesNewRomanPSMT"/>
          <w:color w:val="000000"/>
          <w:sz w:val="26"/>
          <w:szCs w:val="26"/>
        </w:rPr>
        <w:t xml:space="preserve">di căn hạch trên lâm sàng </w:t>
      </w:r>
      <w:r w:rsidRPr="00BE4012">
        <w:rPr>
          <w:rFonts w:ascii="TimesNewRomanPSMT" w:hAnsi="TimesNewRomanPSMT"/>
          <w:color w:val="000000"/>
          <w:szCs w:val="24"/>
        </w:rPr>
        <w:t>hoặc hình ảnh, và không có tiền sử xạ trị vùng đầu cổ.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BE4012">
        <w:rPr>
          <w:rFonts w:ascii="TimesNewRomanPSMT" w:hAnsi="TimesNewRomanPSMT"/>
          <w:color w:val="000000"/>
          <w:szCs w:val="24"/>
        </w:rPr>
        <w:t>Phẫu thuật này có tỷ lệ biến chứng thấp hơn, nhưng có thể có tỷ lệ tái phát cao hơn.</w:t>
      </w:r>
    </w:p>
    <w:p w14:paraId="4233C33B" w14:textId="77777777" w:rsidR="0065481A" w:rsidRDefault="0065481A" w:rsidP="0065481A">
      <w:pPr>
        <w:pStyle w:val="ListParagraph"/>
        <w:ind w:left="567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color w:val="000000"/>
          <w:szCs w:val="24"/>
        </w:rPr>
        <w:t xml:space="preserve">+ Nếu nhân giáp &gt;4cm hoặc có xâm lấn vỏ bao hoặc cN1: cắt giáp toàn phần. </w:t>
      </w:r>
    </w:p>
    <w:p w14:paraId="56D57850" w14:textId="77777777" w:rsidR="0065481A" w:rsidRDefault="0065481A" w:rsidP="0065481A">
      <w:pPr>
        <w:pStyle w:val="ListParagraph"/>
        <w:ind w:left="567"/>
        <w:rPr>
          <w:rFonts w:ascii="TimesNewRomanPSMT" w:hAnsi="TimesNewRomanPSMT"/>
          <w:color w:val="000000"/>
          <w:szCs w:val="24"/>
        </w:rPr>
      </w:pPr>
      <w:r w:rsidRPr="00BE4012">
        <w:rPr>
          <w:rFonts w:cs="Times New Roman"/>
          <w:i/>
          <w:iCs/>
          <w:color w:val="000000"/>
          <w:szCs w:val="24"/>
        </w:rPr>
        <w:t>Phẫu thuật cắt giáp toàn phần</w:t>
      </w:r>
      <w:r w:rsidRPr="00BE4012">
        <w:rPr>
          <w:rFonts w:cs="Times New Roman"/>
          <w:color w:val="000000"/>
          <w:szCs w:val="24"/>
        </w:rPr>
        <w:t>: là phẫu thuật lấy đi toàn bộ mô tuyến giáp, cả mô lành tính</w:t>
      </w:r>
      <w:r>
        <w:rPr>
          <w:rFonts w:cs="Times New Roman"/>
          <w:color w:val="000000"/>
          <w:szCs w:val="24"/>
        </w:rPr>
        <w:t xml:space="preserve"> </w:t>
      </w:r>
      <w:r w:rsidRPr="00BE4012">
        <w:rPr>
          <w:rFonts w:cs="Times New Roman"/>
          <w:color w:val="000000"/>
          <w:szCs w:val="24"/>
        </w:rPr>
        <w:t>và mô bệnh. Phẫu thuật này thường áp dụng cho trường hợp có bướu đa nhân lan tỏa 2 thùy,</w:t>
      </w:r>
      <w:r>
        <w:rPr>
          <w:rFonts w:cs="Times New Roman"/>
          <w:color w:val="000000"/>
          <w:szCs w:val="24"/>
        </w:rPr>
        <w:t xml:space="preserve"> </w:t>
      </w:r>
      <w:r w:rsidRPr="00BE4012">
        <w:rPr>
          <w:rFonts w:cs="Times New Roman"/>
          <w:color w:val="000000"/>
          <w:szCs w:val="24"/>
        </w:rPr>
        <w:t>hoặc bướu có kích thước lớn, bướu có tính chất xâm lấn, hoặc bướu cho di căn hạch, hoặc</w:t>
      </w:r>
      <w:r>
        <w:rPr>
          <w:rFonts w:cs="Times New Roman"/>
          <w:color w:val="000000"/>
          <w:szCs w:val="24"/>
        </w:rPr>
        <w:t xml:space="preserve"> </w:t>
      </w:r>
      <w:r w:rsidRPr="00BE4012">
        <w:rPr>
          <w:rFonts w:cs="Times New Roman"/>
          <w:color w:val="000000"/>
          <w:szCs w:val="24"/>
        </w:rPr>
        <w:t>những trường hợp khác có chỉ định điều trị với Iod phóng xạ sau khi mổ.</w:t>
      </w:r>
    </w:p>
    <w:p w14:paraId="567572A6" w14:textId="77777777" w:rsidR="0065481A" w:rsidRDefault="0065481A" w:rsidP="0065481A">
      <w:pPr>
        <w:pStyle w:val="ListParagraph"/>
        <w:ind w:left="567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color w:val="000000"/>
          <w:szCs w:val="24"/>
        </w:rPr>
        <w:t xml:space="preserve">+ Các trường hợp khác: chỉ định cắt thuỳ hoặc cắt giáp toàn phần dựa vào </w:t>
      </w:r>
      <w:r w:rsidRPr="00C61634">
        <w:rPr>
          <w:rFonts w:ascii="TimesNewRomanPSMT" w:hAnsi="TimesNewRomanPSMT"/>
          <w:color w:val="000000"/>
          <w:szCs w:val="24"/>
        </w:rPr>
        <w:t>kế hoạch điều trị với Iod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C61634">
        <w:rPr>
          <w:rFonts w:ascii="TimesNewRomanPSMT" w:hAnsi="TimesNewRomanPSMT"/>
          <w:color w:val="000000"/>
          <w:szCs w:val="24"/>
        </w:rPr>
        <w:t>phóng xạ sau mổ, bệnh nhân lớn tuổi, loại mô học nguy cơ cao, có tiền sử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C61634">
        <w:rPr>
          <w:rFonts w:ascii="TimesNewRomanPSMT" w:hAnsi="TimesNewRomanPSMT"/>
          <w:color w:val="000000"/>
          <w:szCs w:val="24"/>
        </w:rPr>
        <w:t>xạ trị vùng cổ, hoặc có các bệnh lý tuyến giáp khác ở thùy đối bên với thùy có nhân ung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C61634">
        <w:rPr>
          <w:rFonts w:ascii="TimesNewRomanPSMT" w:hAnsi="TimesNewRomanPSMT"/>
          <w:color w:val="000000"/>
          <w:szCs w:val="24"/>
        </w:rPr>
        <w:t>thư</w:t>
      </w:r>
      <w:r>
        <w:rPr>
          <w:rFonts w:ascii="TimesNewRomanPSMT" w:hAnsi="TimesNewRomanPSMT"/>
          <w:color w:val="000000"/>
          <w:szCs w:val="24"/>
        </w:rPr>
        <w:t>.</w:t>
      </w:r>
    </w:p>
    <w:p w14:paraId="72BC1F1F" w14:textId="77777777" w:rsidR="0065481A" w:rsidRPr="0060099D" w:rsidRDefault="0065481A" w:rsidP="0065481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eastAsia="Times New Roman" w:cs="Times New Roman"/>
          <w:szCs w:val="24"/>
        </w:rPr>
      </w:pPr>
      <w:r w:rsidRPr="00BE4012">
        <w:rPr>
          <w:rFonts w:cs="Times New Roman"/>
          <w:i/>
          <w:iCs/>
          <w:color w:val="000000"/>
          <w:szCs w:val="24"/>
        </w:rPr>
        <w:t>Phẫu thuật nạo hạch cổ</w:t>
      </w:r>
      <w:r w:rsidRPr="00506A2E">
        <w:rPr>
          <w:rFonts w:cs="Times New Roman"/>
          <w:iCs/>
          <w:color w:val="000000"/>
          <w:szCs w:val="24"/>
        </w:rPr>
        <w:t xml:space="preserve">: </w:t>
      </w:r>
      <w:r w:rsidRPr="00506A2E">
        <w:rPr>
          <w:rFonts w:cs="Times New Roman"/>
          <w:color w:val="000000"/>
          <w:szCs w:val="24"/>
        </w:rPr>
        <w:t>là phẫu thuật lấy đi toàn bộ hạch và mô mỡ quanh hạch ở vùng</w:t>
      </w:r>
      <w:r>
        <w:rPr>
          <w:rFonts w:cs="Times New Roman"/>
          <w:color w:val="000000"/>
          <w:szCs w:val="24"/>
        </w:rPr>
        <w:t xml:space="preserve"> </w:t>
      </w:r>
      <w:r w:rsidRPr="00506A2E">
        <w:rPr>
          <w:rFonts w:cs="Times New Roman"/>
          <w:color w:val="000000"/>
          <w:szCs w:val="24"/>
        </w:rPr>
        <w:t>cổ, bao gồm vùng cổ trung tâm (các hạch cổ nhóm VI), và/hoặc vùng cổ bên (nhóm hạch I,</w:t>
      </w:r>
      <w:r>
        <w:rPr>
          <w:rFonts w:cs="Times New Roman"/>
          <w:color w:val="000000"/>
          <w:szCs w:val="24"/>
        </w:rPr>
        <w:t xml:space="preserve"> </w:t>
      </w:r>
      <w:r w:rsidRPr="00506A2E">
        <w:rPr>
          <w:rFonts w:cs="Times New Roman"/>
          <w:color w:val="000000"/>
          <w:szCs w:val="24"/>
        </w:rPr>
        <w:t>II, III, IV, V).</w:t>
      </w:r>
    </w:p>
    <w:p w14:paraId="3602D9C7" w14:textId="77777777" w:rsidR="0065481A" w:rsidRDefault="0065481A" w:rsidP="0065481A">
      <w:pPr>
        <w:pStyle w:val="ListParagraph"/>
        <w:spacing w:after="200" w:line="240" w:lineRule="auto"/>
        <w:ind w:left="567"/>
      </w:pPr>
      <w:r w:rsidRPr="0060099D">
        <w:rPr>
          <w:rFonts w:ascii="TimesNewRomanPSMT" w:hAnsi="TimesNewRomanPSMT"/>
          <w:color w:val="000000"/>
          <w:szCs w:val="24"/>
        </w:rPr>
        <w:t>Hiện nay, theo hướng dẫn thực hành của ATA thì phẫu thuật nạo hạch cổ được khuyến cáo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60099D">
        <w:rPr>
          <w:rFonts w:ascii="TimesNewRomanPSMT" w:hAnsi="TimesNewRomanPSMT"/>
          <w:color w:val="000000"/>
          <w:szCs w:val="24"/>
        </w:rPr>
        <w:t>khi có bằng chứng hạch di căn trên sinh thiết hoặc hạch rất nghi ngờ trên lâm sàng.</w:t>
      </w:r>
      <w:r w:rsidRPr="0060099D">
        <w:t xml:space="preserve"> </w:t>
      </w:r>
    </w:p>
    <w:p w14:paraId="26698854" w14:textId="77777777" w:rsidR="0065481A" w:rsidRPr="00E76683" w:rsidRDefault="0065481A" w:rsidP="0065481A">
      <w:pPr>
        <w:pStyle w:val="ListParagraph"/>
        <w:numPr>
          <w:ilvl w:val="1"/>
          <w:numId w:val="5"/>
        </w:numPr>
        <w:spacing w:after="200" w:line="240" w:lineRule="auto"/>
        <w:rPr>
          <w:rFonts w:eastAsia="Times New Roman" w:cs="Times New Roman"/>
          <w:i/>
          <w:szCs w:val="24"/>
          <w:u w:val="single"/>
        </w:rPr>
      </w:pPr>
      <w:r>
        <w:rPr>
          <w:rFonts w:eastAsia="Times New Roman" w:cs="Times New Roman"/>
          <w:i/>
          <w:szCs w:val="24"/>
          <w:u w:val="single"/>
        </w:rPr>
        <w:t xml:space="preserve"> </w:t>
      </w:r>
      <w:r w:rsidRPr="00E76683">
        <w:rPr>
          <w:rFonts w:eastAsia="Times New Roman" w:cs="Times New Roman"/>
          <w:i/>
          <w:szCs w:val="24"/>
          <w:u w:val="single"/>
        </w:rPr>
        <w:t>Điều trị Iod phóng xạ (I</w:t>
      </w:r>
      <w:r w:rsidRPr="00E76683">
        <w:rPr>
          <w:rFonts w:eastAsia="Times New Roman" w:cs="Times New Roman"/>
          <w:i/>
          <w:szCs w:val="24"/>
          <w:u w:val="single"/>
          <w:vertAlign w:val="superscript"/>
        </w:rPr>
        <w:t>131</w:t>
      </w:r>
      <w:r w:rsidRPr="00E76683">
        <w:rPr>
          <w:rFonts w:eastAsia="Times New Roman" w:cs="Times New Roman"/>
          <w:i/>
          <w:szCs w:val="24"/>
          <w:u w:val="single"/>
        </w:rPr>
        <w:t xml:space="preserve">): </w:t>
      </w:r>
    </w:p>
    <w:p w14:paraId="399FBA9C" w14:textId="77777777" w:rsidR="0065481A" w:rsidRDefault="0065481A" w:rsidP="0065481A">
      <w:pPr>
        <w:pStyle w:val="ListParagraph"/>
        <w:numPr>
          <w:ilvl w:val="2"/>
          <w:numId w:val="5"/>
        </w:numPr>
        <w:spacing w:after="200" w:line="240" w:lineRule="auto"/>
        <w:rPr>
          <w:rFonts w:eastAsia="Times New Roman" w:cs="Times New Roman"/>
          <w:i/>
          <w:szCs w:val="24"/>
        </w:rPr>
      </w:pPr>
      <w:r w:rsidRPr="00E76683">
        <w:rPr>
          <w:rFonts w:eastAsia="Times New Roman" w:cs="Times New Roman"/>
          <w:i/>
          <w:szCs w:val="24"/>
        </w:rPr>
        <w:t>Mục tiêu điều trị Iod phóng xạ:</w:t>
      </w:r>
    </w:p>
    <w:p w14:paraId="3FC6C013" w14:textId="77777777" w:rsidR="0065481A" w:rsidRPr="00E76683" w:rsidRDefault="0065481A" w:rsidP="0065481A">
      <w:pPr>
        <w:pStyle w:val="ListParagraph"/>
        <w:spacing w:after="200" w:line="240" w:lineRule="auto"/>
        <w:ind w:left="709"/>
        <w:rPr>
          <w:rFonts w:eastAsia="Times New Roman" w:cs="Times New Roman"/>
          <w:szCs w:val="24"/>
        </w:rPr>
      </w:pPr>
      <w:r w:rsidRPr="00E76683">
        <w:rPr>
          <w:rFonts w:ascii="TimesNewRomanPSMT" w:hAnsi="TimesNewRomanPSMT"/>
          <w:color w:val="000000"/>
          <w:szCs w:val="24"/>
        </w:rPr>
        <w:t>- Diệt giáp: diệt hoàn toàn mô tuyến giáp còn lại sau khi đã phẫu thuật cắt tuyến giáp toàn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76683">
        <w:rPr>
          <w:rFonts w:ascii="TimesNewRomanPSMT" w:hAnsi="TimesNewRomanPSMT"/>
          <w:color w:val="000000"/>
          <w:szCs w:val="24"/>
        </w:rPr>
        <w:t>phần như mô giáp còn lại tại giường tuyến giáp, bao gồm cả mô lành của ống giáp lưỡi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76683">
        <w:rPr>
          <w:rFonts w:ascii="TimesNewRomanPSMT" w:hAnsi="TimesNewRomanPSMT"/>
          <w:color w:val="000000"/>
          <w:szCs w:val="24"/>
        </w:rPr>
        <w:t>và mô ung thư nếu còn sót lại. Việc điều trị này giúp dễ theo dõi tình trạng tái phát hoặc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76683">
        <w:rPr>
          <w:rFonts w:ascii="TimesNewRomanPSMT" w:hAnsi="TimesNewRomanPSMT"/>
          <w:color w:val="000000"/>
          <w:szCs w:val="24"/>
        </w:rPr>
        <w:t>bệnh tồn tại dai dẳng bằng Tg và/hoặc bằng xạ hình tuyến giáp.</w:t>
      </w:r>
      <w:r w:rsidRPr="00E76683">
        <w:rPr>
          <w:rFonts w:ascii="TimesNewRomanPSMT" w:hAnsi="TimesNewRomanPSMT"/>
          <w:color w:val="000000"/>
          <w:szCs w:val="24"/>
        </w:rPr>
        <w:br/>
        <w:t>- Điều trị các mô ung thư còn lại đã xác định sau mổ (phẫu thuật không thể lấy hết bướu,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76683">
        <w:rPr>
          <w:rFonts w:ascii="TimesNewRomanPSMT" w:hAnsi="TimesNewRomanPSMT"/>
          <w:color w:val="000000"/>
          <w:szCs w:val="24"/>
        </w:rPr>
        <w:t>hạch trên đại thể hay bệnh nhân đã có di căn xa).</w:t>
      </w:r>
    </w:p>
    <w:p w14:paraId="46C364BB" w14:textId="77777777" w:rsidR="0065481A" w:rsidRDefault="0065481A" w:rsidP="0065481A">
      <w:pPr>
        <w:pStyle w:val="ListParagraph"/>
        <w:numPr>
          <w:ilvl w:val="2"/>
          <w:numId w:val="5"/>
        </w:numPr>
        <w:spacing w:after="200" w:line="240" w:lineRule="auto"/>
        <w:rPr>
          <w:rFonts w:eastAsia="Times New Roman" w:cs="Times New Roman"/>
          <w:i/>
          <w:szCs w:val="24"/>
        </w:rPr>
      </w:pPr>
      <w:r w:rsidRPr="00E76683">
        <w:rPr>
          <w:rFonts w:eastAsia="Times New Roman" w:cs="Times New Roman"/>
          <w:i/>
          <w:szCs w:val="24"/>
        </w:rPr>
        <w:t>Chỉ định: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4253"/>
        <w:gridCol w:w="1744"/>
        <w:gridCol w:w="1288"/>
      </w:tblGrid>
      <w:tr w:rsidR="0065481A" w14:paraId="6CFA89AD" w14:textId="77777777" w:rsidTr="00F80961">
        <w:trPr>
          <w:jc w:val="center"/>
        </w:trPr>
        <w:tc>
          <w:tcPr>
            <w:tcW w:w="1980" w:type="dxa"/>
            <w:vAlign w:val="center"/>
          </w:tcPr>
          <w:p w14:paraId="50FC2CE1" w14:textId="77777777" w:rsidR="0065481A" w:rsidRPr="00E76683" w:rsidRDefault="0065481A" w:rsidP="00F80961">
            <w:pPr>
              <w:jc w:val="center"/>
              <w:rPr>
                <w:b/>
                <w:sz w:val="24"/>
                <w:szCs w:val="24"/>
              </w:rPr>
            </w:pPr>
            <w:r w:rsidRPr="00E76683">
              <w:rPr>
                <w:rStyle w:val="fontstyle01"/>
                <w:sz w:val="24"/>
                <w:szCs w:val="24"/>
              </w:rPr>
              <w:t>Nhóm nguy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E76683">
              <w:rPr>
                <w:rStyle w:val="fontstyle01"/>
                <w:sz w:val="24"/>
                <w:szCs w:val="24"/>
              </w:rPr>
              <w:t>cơ theo ATA</w:t>
            </w:r>
          </w:p>
        </w:tc>
        <w:tc>
          <w:tcPr>
            <w:tcW w:w="5103" w:type="dxa"/>
            <w:vAlign w:val="center"/>
          </w:tcPr>
          <w:p w14:paraId="7552907F" w14:textId="77777777" w:rsidR="0065481A" w:rsidRPr="00E76683" w:rsidRDefault="0065481A" w:rsidP="00F80961">
            <w:pPr>
              <w:jc w:val="center"/>
              <w:rPr>
                <w:b/>
                <w:sz w:val="24"/>
                <w:szCs w:val="24"/>
              </w:rPr>
            </w:pPr>
            <w:r w:rsidRPr="00E76683">
              <w:rPr>
                <w:rStyle w:val="fontstyle01"/>
                <w:sz w:val="24"/>
                <w:szCs w:val="24"/>
              </w:rPr>
              <w:t>Đặc điểm</w:t>
            </w:r>
          </w:p>
        </w:tc>
        <w:tc>
          <w:tcPr>
            <w:tcW w:w="1984" w:type="dxa"/>
            <w:vAlign w:val="center"/>
          </w:tcPr>
          <w:p w14:paraId="7B7E5364" w14:textId="77777777" w:rsidR="0065481A" w:rsidRPr="00E76683" w:rsidRDefault="0065481A" w:rsidP="00F80961">
            <w:pPr>
              <w:jc w:val="center"/>
              <w:rPr>
                <w:b/>
                <w:sz w:val="24"/>
                <w:szCs w:val="24"/>
              </w:rPr>
            </w:pPr>
            <w:r w:rsidRPr="00E76683">
              <w:rPr>
                <w:rStyle w:val="fontstyle01"/>
                <w:sz w:val="24"/>
                <w:szCs w:val="24"/>
              </w:rPr>
              <w:t>Chỉ định điều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E76683">
              <w:rPr>
                <w:rStyle w:val="fontstyle01"/>
                <w:sz w:val="24"/>
                <w:szCs w:val="24"/>
              </w:rPr>
              <w:t>trị</w:t>
            </w:r>
            <w:r w:rsidRPr="00E76683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</w:r>
            <w:r w:rsidRPr="00E76683">
              <w:rPr>
                <w:rStyle w:val="fontstyle01"/>
                <w:sz w:val="24"/>
                <w:szCs w:val="24"/>
              </w:rPr>
              <w:t>Iod phóng xạ</w:t>
            </w:r>
          </w:p>
        </w:tc>
        <w:tc>
          <w:tcPr>
            <w:tcW w:w="1453" w:type="dxa"/>
            <w:vAlign w:val="center"/>
          </w:tcPr>
          <w:p w14:paraId="38521BE3" w14:textId="77777777" w:rsidR="0065481A" w:rsidRDefault="0065481A" w:rsidP="00F80961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 w:rsidRPr="00E76683">
              <w:rPr>
                <w:rStyle w:val="fontstyle01"/>
                <w:sz w:val="24"/>
                <w:szCs w:val="24"/>
              </w:rPr>
              <w:t xml:space="preserve">Liều </w:t>
            </w:r>
          </w:p>
          <w:p w14:paraId="4104B758" w14:textId="77777777" w:rsidR="0065481A" w:rsidRPr="00E76683" w:rsidRDefault="0065481A" w:rsidP="00F80961">
            <w:pPr>
              <w:jc w:val="center"/>
              <w:rPr>
                <w:b/>
                <w:sz w:val="24"/>
                <w:szCs w:val="24"/>
              </w:rPr>
            </w:pPr>
            <w:r w:rsidRPr="00E76683">
              <w:rPr>
                <w:rStyle w:val="fontstyle01"/>
                <w:sz w:val="24"/>
                <w:szCs w:val="24"/>
              </w:rPr>
              <w:t>hoạt chất</w:t>
            </w:r>
          </w:p>
        </w:tc>
      </w:tr>
      <w:tr w:rsidR="0065481A" w14:paraId="73CBF980" w14:textId="77777777" w:rsidTr="00F80961">
        <w:trPr>
          <w:jc w:val="center"/>
        </w:trPr>
        <w:tc>
          <w:tcPr>
            <w:tcW w:w="1980" w:type="dxa"/>
            <w:vMerge w:val="restart"/>
            <w:vAlign w:val="center"/>
          </w:tcPr>
          <w:p w14:paraId="6280A277" w14:textId="77777777" w:rsidR="0065481A" w:rsidRPr="00E76683" w:rsidRDefault="0065481A" w:rsidP="00F80961">
            <w:pPr>
              <w:jc w:val="center"/>
              <w:rPr>
                <w:sz w:val="24"/>
                <w:szCs w:val="24"/>
              </w:rPr>
            </w:pPr>
            <w:r w:rsidRPr="00E76683">
              <w:rPr>
                <w:rStyle w:val="fontstyle01"/>
                <w:sz w:val="24"/>
                <w:szCs w:val="24"/>
              </w:rPr>
              <w:t>Thấp</w:t>
            </w:r>
            <w:r w:rsidRPr="00E7668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(</w:t>
            </w:r>
            <w:r w:rsidRPr="00E76683">
              <w:rPr>
                <w:rStyle w:val="fontstyle01"/>
                <w:sz w:val="24"/>
                <w:szCs w:val="24"/>
              </w:rPr>
              <w:t>Nguy cơ tái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E76683">
              <w:rPr>
                <w:rStyle w:val="fontstyle01"/>
                <w:sz w:val="24"/>
                <w:szCs w:val="24"/>
              </w:rPr>
              <w:t>phát: 1-10%</w:t>
            </w:r>
            <w:r>
              <w:rPr>
                <w:rStyle w:val="fontstyle01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7BE5895E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 xml:space="preserve">Carcinôm dạng nhú kích thước nhỏ </w:t>
            </w:r>
          </w:p>
        </w:tc>
        <w:tc>
          <w:tcPr>
            <w:tcW w:w="1984" w:type="dxa"/>
            <w:vAlign w:val="center"/>
          </w:tcPr>
          <w:p w14:paraId="2FD3C8B2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Không</w:t>
            </w:r>
          </w:p>
        </w:tc>
        <w:tc>
          <w:tcPr>
            <w:tcW w:w="1453" w:type="dxa"/>
            <w:vAlign w:val="center"/>
          </w:tcPr>
          <w:p w14:paraId="6AC71DB8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A" w14:paraId="30C0A914" w14:textId="77777777" w:rsidTr="00F80961">
        <w:trPr>
          <w:jc w:val="center"/>
        </w:trPr>
        <w:tc>
          <w:tcPr>
            <w:tcW w:w="1980" w:type="dxa"/>
            <w:vMerge/>
            <w:vAlign w:val="center"/>
          </w:tcPr>
          <w:p w14:paraId="732FA5CC" w14:textId="77777777" w:rsidR="0065481A" w:rsidRPr="00E76683" w:rsidRDefault="0065481A" w:rsidP="00F80961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5F87E85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 xml:space="preserve">Bướu 1-4cm nằm trong tuyến giáp </w:t>
            </w:r>
          </w:p>
        </w:tc>
        <w:tc>
          <w:tcPr>
            <w:tcW w:w="1984" w:type="dxa"/>
            <w:vAlign w:val="center"/>
          </w:tcPr>
          <w:p w14:paraId="291A6E16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Không</w:t>
            </w:r>
          </w:p>
        </w:tc>
        <w:tc>
          <w:tcPr>
            <w:tcW w:w="1453" w:type="dxa"/>
            <w:vAlign w:val="center"/>
          </w:tcPr>
          <w:p w14:paraId="75FE1D8D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A" w14:paraId="00ADFD05" w14:textId="77777777" w:rsidTr="00F80961">
        <w:trPr>
          <w:jc w:val="center"/>
        </w:trPr>
        <w:tc>
          <w:tcPr>
            <w:tcW w:w="1980" w:type="dxa"/>
            <w:vMerge/>
            <w:vAlign w:val="center"/>
          </w:tcPr>
          <w:p w14:paraId="6A232BAC" w14:textId="77777777" w:rsidR="0065481A" w:rsidRPr="00E76683" w:rsidRDefault="0065481A" w:rsidP="00F80961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4F434B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Bướu &gt;4cm, không xâm lấn ngoài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76A1D">
              <w:rPr>
                <w:rStyle w:val="fontstyle01"/>
                <w:sz w:val="24"/>
                <w:szCs w:val="24"/>
              </w:rPr>
              <w:t>tuyến giáp</w:t>
            </w:r>
          </w:p>
        </w:tc>
        <w:tc>
          <w:tcPr>
            <w:tcW w:w="1984" w:type="dxa"/>
            <w:vAlign w:val="center"/>
          </w:tcPr>
          <w:p w14:paraId="15D57DF9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Xem xét</w:t>
            </w:r>
          </w:p>
        </w:tc>
        <w:tc>
          <w:tcPr>
            <w:tcW w:w="1453" w:type="dxa"/>
            <w:vMerge w:val="restart"/>
            <w:vAlign w:val="center"/>
          </w:tcPr>
          <w:p w14:paraId="3A4E783F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Diệt giáp,</w:t>
            </w:r>
            <w:r w:rsidRPr="0017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A1D">
              <w:rPr>
                <w:rStyle w:val="fontstyle01"/>
                <w:sz w:val="24"/>
                <w:szCs w:val="24"/>
              </w:rPr>
              <w:t>30-50 mCi</w:t>
            </w:r>
          </w:p>
          <w:p w14:paraId="6F67EAF7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A" w14:paraId="79F45B93" w14:textId="77777777" w:rsidTr="00F80961">
        <w:trPr>
          <w:jc w:val="center"/>
        </w:trPr>
        <w:tc>
          <w:tcPr>
            <w:tcW w:w="1980" w:type="dxa"/>
            <w:vMerge/>
            <w:vAlign w:val="center"/>
          </w:tcPr>
          <w:p w14:paraId="2DD062E3" w14:textId="77777777" w:rsidR="0065481A" w:rsidRPr="00E76683" w:rsidRDefault="0065481A" w:rsidP="00F80961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6E6F8A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Di căn hạch vi thể trung tâm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76A1D">
              <w:rPr>
                <w:rStyle w:val="fontstyle01"/>
                <w:sz w:val="24"/>
                <w:szCs w:val="24"/>
              </w:rPr>
              <w:t>(&lt;0,2cm)</w:t>
            </w:r>
          </w:p>
        </w:tc>
        <w:tc>
          <w:tcPr>
            <w:tcW w:w="1984" w:type="dxa"/>
            <w:vAlign w:val="center"/>
          </w:tcPr>
          <w:p w14:paraId="5DB9D4A4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Xem xét</w:t>
            </w:r>
          </w:p>
        </w:tc>
        <w:tc>
          <w:tcPr>
            <w:tcW w:w="1453" w:type="dxa"/>
            <w:vMerge/>
            <w:vAlign w:val="center"/>
          </w:tcPr>
          <w:p w14:paraId="3D1F6F0F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A" w14:paraId="36AD3066" w14:textId="77777777" w:rsidTr="00F80961">
        <w:trPr>
          <w:jc w:val="center"/>
        </w:trPr>
        <w:tc>
          <w:tcPr>
            <w:tcW w:w="1980" w:type="dxa"/>
            <w:vMerge w:val="restart"/>
            <w:vAlign w:val="center"/>
          </w:tcPr>
          <w:p w14:paraId="2E6A2165" w14:textId="77777777" w:rsidR="0065481A" w:rsidRPr="00176A1D" w:rsidRDefault="0065481A" w:rsidP="00F80961">
            <w:pPr>
              <w:jc w:val="center"/>
              <w:rPr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Trung bình</w:t>
            </w:r>
            <w:r w:rsidRPr="00176A1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(</w:t>
            </w:r>
            <w:r w:rsidRPr="00176A1D">
              <w:rPr>
                <w:rStyle w:val="fontstyle01"/>
                <w:sz w:val="24"/>
                <w:szCs w:val="24"/>
              </w:rPr>
              <w:t>Nguy cơ tái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76A1D">
              <w:rPr>
                <w:rStyle w:val="fontstyle01"/>
                <w:sz w:val="24"/>
                <w:szCs w:val="24"/>
              </w:rPr>
              <w:t>phát: 15-30%</w:t>
            </w:r>
            <w:r>
              <w:rPr>
                <w:rStyle w:val="fontstyle01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388FF76F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Mô học loại ác tính cao</w:t>
            </w:r>
            <w:r w:rsidRPr="0017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A1D">
              <w:rPr>
                <w:rStyle w:val="fontstyle01"/>
                <w:sz w:val="24"/>
                <w:szCs w:val="24"/>
              </w:rPr>
              <w:t>Xâm lấn ngoài tuyến giáp tối thiểu</w:t>
            </w:r>
          </w:p>
        </w:tc>
        <w:tc>
          <w:tcPr>
            <w:tcW w:w="1984" w:type="dxa"/>
            <w:vAlign w:val="center"/>
          </w:tcPr>
          <w:p w14:paraId="06142BB4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Xem xét</w:t>
            </w:r>
          </w:p>
        </w:tc>
        <w:tc>
          <w:tcPr>
            <w:tcW w:w="1453" w:type="dxa"/>
            <w:vMerge w:val="restart"/>
            <w:vAlign w:val="center"/>
          </w:tcPr>
          <w:p w14:paraId="4EDD4BB7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Diệt giáp,</w:t>
            </w:r>
            <w:r w:rsidRPr="0017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A1D">
              <w:rPr>
                <w:rStyle w:val="fontstyle01"/>
                <w:sz w:val="24"/>
                <w:szCs w:val="24"/>
              </w:rPr>
              <w:t>30-50 mCi</w:t>
            </w:r>
          </w:p>
          <w:p w14:paraId="1AAE9595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A" w14:paraId="03618EC6" w14:textId="77777777" w:rsidTr="00F80961">
        <w:trPr>
          <w:jc w:val="center"/>
        </w:trPr>
        <w:tc>
          <w:tcPr>
            <w:tcW w:w="1980" w:type="dxa"/>
            <w:vMerge/>
            <w:vAlign w:val="center"/>
          </w:tcPr>
          <w:p w14:paraId="2D268688" w14:textId="77777777" w:rsidR="0065481A" w:rsidRPr="00176A1D" w:rsidRDefault="0065481A" w:rsidP="00F80961">
            <w:pPr>
              <w:jc w:val="center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03E234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Di căn hạch cổ trung tâm hoặc cổ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76A1D">
              <w:rPr>
                <w:rStyle w:val="fontstyle01"/>
                <w:sz w:val="24"/>
                <w:szCs w:val="24"/>
              </w:rPr>
              <w:t>bên 0,2-3cm, di căn &gt;5 hạch, tất cả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76A1D">
              <w:rPr>
                <w:rStyle w:val="fontstyle01"/>
                <w:sz w:val="24"/>
                <w:szCs w:val="24"/>
              </w:rPr>
              <w:t>các hạch đều &lt;3cm</w:t>
            </w:r>
          </w:p>
        </w:tc>
        <w:tc>
          <w:tcPr>
            <w:tcW w:w="1984" w:type="dxa"/>
            <w:vAlign w:val="center"/>
          </w:tcPr>
          <w:p w14:paraId="4209B3B7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Có</w:t>
            </w:r>
          </w:p>
        </w:tc>
        <w:tc>
          <w:tcPr>
            <w:tcW w:w="1453" w:type="dxa"/>
            <w:vMerge/>
            <w:vAlign w:val="center"/>
          </w:tcPr>
          <w:p w14:paraId="0940509F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1A" w14:paraId="25C48BD3" w14:textId="77777777" w:rsidTr="00F80961">
        <w:trPr>
          <w:jc w:val="center"/>
        </w:trPr>
        <w:tc>
          <w:tcPr>
            <w:tcW w:w="1980" w:type="dxa"/>
            <w:vAlign w:val="center"/>
          </w:tcPr>
          <w:p w14:paraId="50AEFF72" w14:textId="77777777" w:rsidR="0065481A" w:rsidRPr="00176A1D" w:rsidRDefault="0065481A" w:rsidP="00F80961">
            <w:pPr>
              <w:jc w:val="center"/>
              <w:rPr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Cao</w:t>
            </w:r>
            <w:r w:rsidRPr="00176A1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(</w:t>
            </w:r>
            <w:r w:rsidRPr="00176A1D">
              <w:rPr>
                <w:rStyle w:val="fontstyle01"/>
                <w:sz w:val="24"/>
                <w:szCs w:val="24"/>
              </w:rPr>
              <w:t>Nguy cơ tái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76A1D">
              <w:rPr>
                <w:rStyle w:val="fontstyle01"/>
                <w:sz w:val="24"/>
                <w:szCs w:val="24"/>
              </w:rPr>
              <w:t>phát: 40-70%</w:t>
            </w:r>
            <w:r>
              <w:rPr>
                <w:rStyle w:val="fontstyle01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648A971F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Di căn hạch &gt;3cm</w:t>
            </w:r>
            <w:r w:rsidRPr="0017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A1D">
              <w:rPr>
                <w:rStyle w:val="fontstyle01"/>
                <w:sz w:val="24"/>
                <w:szCs w:val="24"/>
              </w:rPr>
              <w:t>Xâm lấn ngoài hạch</w:t>
            </w:r>
            <w:r w:rsidRPr="0017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A1D">
              <w:rPr>
                <w:rStyle w:val="fontstyle01"/>
                <w:sz w:val="24"/>
                <w:szCs w:val="24"/>
              </w:rPr>
              <w:t>Carcinôm dạng nang, xâm lấn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176A1D">
              <w:rPr>
                <w:rStyle w:val="fontstyle01"/>
                <w:sz w:val="24"/>
                <w:szCs w:val="24"/>
              </w:rPr>
              <w:t>mạch máu &gt;4 ổ</w:t>
            </w:r>
            <w:r w:rsidRPr="0017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A1D">
              <w:rPr>
                <w:rStyle w:val="fontstyle01"/>
                <w:sz w:val="24"/>
                <w:szCs w:val="24"/>
              </w:rPr>
              <w:t>Xâm lấn ngoài tuyến giáp đại thể</w:t>
            </w:r>
            <w:r w:rsidRPr="0017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A1D">
              <w:rPr>
                <w:rStyle w:val="fontstyle01"/>
                <w:sz w:val="24"/>
                <w:szCs w:val="24"/>
              </w:rPr>
              <w:t>Di căn xa</w:t>
            </w:r>
          </w:p>
        </w:tc>
        <w:tc>
          <w:tcPr>
            <w:tcW w:w="1984" w:type="dxa"/>
            <w:vAlign w:val="center"/>
          </w:tcPr>
          <w:p w14:paraId="33D470E1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</w:p>
        </w:tc>
        <w:tc>
          <w:tcPr>
            <w:tcW w:w="1453" w:type="dxa"/>
            <w:vAlign w:val="center"/>
          </w:tcPr>
          <w:p w14:paraId="77FB41CD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1D">
              <w:rPr>
                <w:rStyle w:val="fontstyle01"/>
                <w:sz w:val="24"/>
                <w:szCs w:val="24"/>
              </w:rPr>
              <w:t>Diệt giáp,</w:t>
            </w:r>
            <w:r w:rsidRPr="0017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A1D">
              <w:rPr>
                <w:rStyle w:val="fontstyle01"/>
                <w:sz w:val="24"/>
                <w:szCs w:val="24"/>
              </w:rPr>
              <w:t>100-200 mCi</w:t>
            </w:r>
          </w:p>
          <w:p w14:paraId="7D183C0C" w14:textId="77777777" w:rsidR="0065481A" w:rsidRPr="00176A1D" w:rsidRDefault="0065481A" w:rsidP="00F80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4F40D" w14:textId="77777777" w:rsidR="0065481A" w:rsidRPr="004D2596" w:rsidRDefault="0065481A" w:rsidP="0065481A">
      <w:pPr>
        <w:pStyle w:val="ListParagraph"/>
        <w:numPr>
          <w:ilvl w:val="1"/>
          <w:numId w:val="5"/>
        </w:numPr>
        <w:spacing w:after="20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  <w:u w:val="single"/>
        </w:rPr>
        <w:t xml:space="preserve"> </w:t>
      </w:r>
      <w:r w:rsidRPr="00E76683">
        <w:rPr>
          <w:rFonts w:eastAsia="Times New Roman" w:cs="Times New Roman"/>
          <w:i/>
          <w:szCs w:val="24"/>
          <w:u w:val="single"/>
        </w:rPr>
        <w:t xml:space="preserve">Điều trị </w:t>
      </w:r>
      <w:r>
        <w:rPr>
          <w:rFonts w:eastAsia="Times New Roman" w:cs="Times New Roman"/>
          <w:i/>
          <w:szCs w:val="24"/>
          <w:u w:val="single"/>
        </w:rPr>
        <w:t>nội tiết tố:</w:t>
      </w:r>
    </w:p>
    <w:p w14:paraId="0A833466" w14:textId="77777777" w:rsidR="0065481A" w:rsidRDefault="0065481A" w:rsidP="0065481A">
      <w:pPr>
        <w:pStyle w:val="ListParagraph"/>
        <w:spacing w:after="200" w:line="240" w:lineRule="auto"/>
        <w:ind w:left="709"/>
        <w:rPr>
          <w:rFonts w:ascii="TimesNewRomanPSMT" w:hAnsi="TimesNewRomanPSMT"/>
          <w:color w:val="000000"/>
          <w:szCs w:val="24"/>
        </w:rPr>
      </w:pPr>
      <w:r w:rsidRPr="004D2596">
        <w:rPr>
          <w:rFonts w:ascii="TimesNewRomanPSMT" w:hAnsi="TimesNewRomanPSMT"/>
          <w:color w:val="000000"/>
          <w:szCs w:val="24"/>
        </w:rPr>
        <w:t>Sau khi phẫu thuật cắt tuyến giáp toàn phần, bệnh nhân cần được bổ sung nội tiết tố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4D2596">
        <w:rPr>
          <w:rFonts w:ascii="TimesNewRomanPSMT" w:hAnsi="TimesNewRomanPSMT"/>
          <w:color w:val="000000"/>
          <w:szCs w:val="24"/>
        </w:rPr>
        <w:t>levothyroxine với liều 1,6 – 2,0 mcg/kg/ngày, tùy thuộc vào mục tiêu điều trị là bình thường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4D2596">
        <w:rPr>
          <w:rFonts w:ascii="TimesNewRomanPSMT" w:hAnsi="TimesNewRomanPSMT"/>
          <w:color w:val="000000"/>
          <w:szCs w:val="24"/>
        </w:rPr>
        <w:t>thấp hay ức chế TSH.</w:t>
      </w:r>
    </w:p>
    <w:p w14:paraId="667DDDD5" w14:textId="77777777" w:rsidR="0065481A" w:rsidRDefault="0065481A" w:rsidP="0065481A">
      <w:pPr>
        <w:pStyle w:val="ListParagraph"/>
        <w:spacing w:after="200" w:line="240" w:lineRule="auto"/>
        <w:ind w:left="709"/>
        <w:rPr>
          <w:rFonts w:ascii="TimesNewRomanPSMT" w:hAnsi="TimesNewRomanPSMT"/>
          <w:color w:val="000000"/>
          <w:szCs w:val="24"/>
        </w:rPr>
      </w:pPr>
      <w:r>
        <w:rPr>
          <w:rFonts w:ascii="TimesNewRomanPSMT" w:hAnsi="TimesNewRomanPSMT"/>
          <w:color w:val="000000"/>
          <w:szCs w:val="24"/>
        </w:rPr>
        <w:t>V</w:t>
      </w:r>
      <w:r w:rsidRPr="00E21B8C">
        <w:rPr>
          <w:rFonts w:ascii="TimesNewRomanPSMT" w:hAnsi="TimesNewRomanPSMT"/>
          <w:color w:val="000000"/>
          <w:szCs w:val="24"/>
        </w:rPr>
        <w:t>iệc điều trị ức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21B8C">
        <w:rPr>
          <w:rFonts w:ascii="TimesNewRomanPSMT" w:hAnsi="TimesNewRomanPSMT"/>
          <w:color w:val="000000"/>
          <w:szCs w:val="24"/>
        </w:rPr>
        <w:t>chế TSH (với mức TSH &lt;0,1 mU/L) phải được cân bằng giữa lợi ích và nguy cơ. Các nghiên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21B8C">
        <w:rPr>
          <w:rFonts w:ascii="TimesNewRomanPSMT" w:hAnsi="TimesNewRomanPSMT"/>
          <w:color w:val="000000"/>
          <w:szCs w:val="24"/>
        </w:rPr>
        <w:t>cứu quan sát đã báo cáo về tăng tỷ lệ tử vong do bệnh lý tim mạch và tử vong do mọi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21B8C">
        <w:rPr>
          <w:rFonts w:ascii="TimesNewRomanPSMT" w:hAnsi="TimesNewRomanPSMT"/>
          <w:color w:val="000000"/>
          <w:szCs w:val="24"/>
        </w:rPr>
        <w:t>nguyên nhân trên bệnh nhân lớn tuổi được điều trị ức chế TSH. Các biến chứng tiềm tàng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21B8C">
        <w:rPr>
          <w:rFonts w:ascii="TimesNewRomanPSMT" w:hAnsi="TimesNewRomanPSMT"/>
          <w:color w:val="000000"/>
          <w:szCs w:val="24"/>
        </w:rPr>
        <w:t>của cường giáp dưới lâm sàng bao gồm tăng nguy cơ rung nhĩ trên bệnh nhân lớn tuổi, tăng</w:t>
      </w:r>
      <w:r>
        <w:rPr>
          <w:rFonts w:ascii="TimesNewRomanPSMT" w:hAnsi="TimesNewRomanPSMT"/>
          <w:color w:val="000000"/>
          <w:szCs w:val="24"/>
        </w:rPr>
        <w:t xml:space="preserve"> </w:t>
      </w:r>
      <w:r w:rsidRPr="00E21B8C">
        <w:rPr>
          <w:rFonts w:ascii="TimesNewRomanPSMT" w:hAnsi="TimesNewRomanPSMT"/>
          <w:color w:val="000000"/>
          <w:szCs w:val="24"/>
        </w:rPr>
        <w:t>nhịp tim, phì đại thất, rối loạn chức năng tâm trương, cùng các biến chứng khác.</w:t>
      </w:r>
    </w:p>
    <w:p w14:paraId="05B4261D" w14:textId="77777777" w:rsidR="0065481A" w:rsidRPr="00E21B8C" w:rsidRDefault="0065481A" w:rsidP="0065481A">
      <w:pPr>
        <w:pStyle w:val="ListParagraph"/>
        <w:spacing w:after="200" w:line="240" w:lineRule="auto"/>
        <w:ind w:left="709"/>
        <w:rPr>
          <w:rFonts w:eastAsia="Times New Roman" w:cs="Times New Roman"/>
          <w:szCs w:val="24"/>
        </w:rPr>
      </w:pPr>
    </w:p>
    <w:p w14:paraId="6B26E6BF" w14:textId="77777777" w:rsidR="0065481A" w:rsidRDefault="0065481A" w:rsidP="0065481A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="Times New Roman"/>
          <w:b/>
          <w:szCs w:val="24"/>
          <w:lang w:val="it-IT"/>
        </w:rPr>
      </w:pPr>
      <w:r w:rsidRPr="00F56151">
        <w:rPr>
          <w:rFonts w:cs="Times New Roman"/>
          <w:b/>
          <w:szCs w:val="24"/>
          <w:lang w:val="it-IT"/>
        </w:rPr>
        <w:t>TIÊN LƯỢNG, BIẾN CHỨNG:</w:t>
      </w:r>
    </w:p>
    <w:p w14:paraId="4E6F20C7" w14:textId="77777777" w:rsidR="0065481A" w:rsidRDefault="0065481A" w:rsidP="0065481A">
      <w:pPr>
        <w:pStyle w:val="ListParagraph"/>
        <w:spacing w:after="200" w:line="240" w:lineRule="auto"/>
        <w:rPr>
          <w:rFonts w:cs="Times New Roman"/>
          <w:color w:val="000000"/>
          <w:szCs w:val="24"/>
        </w:rPr>
      </w:pPr>
      <w:r w:rsidRPr="000A493F">
        <w:rPr>
          <w:rFonts w:cs="Times New Roman"/>
          <w:color w:val="000000"/>
          <w:szCs w:val="24"/>
        </w:rPr>
        <w:t xml:space="preserve">Khi được điều </w:t>
      </w:r>
      <w:proofErr w:type="gramStart"/>
      <w:r w:rsidRPr="000A493F">
        <w:rPr>
          <w:rFonts w:cs="Times New Roman"/>
          <w:color w:val="000000"/>
          <w:szCs w:val="24"/>
        </w:rPr>
        <w:t>trị</w:t>
      </w:r>
      <w:r>
        <w:rPr>
          <w:rFonts w:cs="Times New Roman"/>
          <w:color w:val="000000"/>
          <w:szCs w:val="24"/>
        </w:rPr>
        <w:t xml:space="preserve">, </w:t>
      </w:r>
      <w:r w:rsidRPr="000A493F">
        <w:rPr>
          <w:rFonts w:cs="Times New Roman"/>
          <w:color w:val="000000"/>
          <w:szCs w:val="24"/>
        </w:rPr>
        <w:t xml:space="preserve"> bệnh</w:t>
      </w:r>
      <w:proofErr w:type="gramEnd"/>
      <w:r w:rsidRPr="000A493F">
        <w:rPr>
          <w:rFonts w:cs="Times New Roman"/>
          <w:color w:val="000000"/>
          <w:szCs w:val="24"/>
        </w:rPr>
        <w:t xml:space="preserve"> có thể khỏi hoàn toàn</w:t>
      </w:r>
      <w:r>
        <w:rPr>
          <w:rFonts w:cs="Times New Roman"/>
          <w:color w:val="000000"/>
          <w:szCs w:val="24"/>
        </w:rPr>
        <w:t>.</w:t>
      </w:r>
    </w:p>
    <w:p w14:paraId="184941A5" w14:textId="77777777" w:rsidR="0065481A" w:rsidRDefault="0065481A" w:rsidP="0065481A">
      <w:pPr>
        <w:pStyle w:val="ListParagraph"/>
        <w:spacing w:after="20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Khả năng tái phát tuỳ thuộc giai đoạn bệnh và đặc biệt là loại giải phẫu bệnh.</w:t>
      </w:r>
      <w:r w:rsidRPr="000A493F">
        <w:rPr>
          <w:rFonts w:cs="Times New Roman"/>
          <w:color w:val="000000"/>
          <w:szCs w:val="24"/>
        </w:rPr>
        <w:t xml:space="preserve"> </w:t>
      </w:r>
    </w:p>
    <w:p w14:paraId="4D681821" w14:textId="77777777" w:rsidR="0065481A" w:rsidRDefault="0065481A" w:rsidP="0065481A">
      <w:pPr>
        <w:pStyle w:val="ListParagraph"/>
        <w:spacing w:after="200" w:line="240" w:lineRule="auto"/>
        <w:rPr>
          <w:rFonts w:cs="Times New Roman"/>
          <w:color w:val="000000"/>
          <w:szCs w:val="24"/>
        </w:rPr>
      </w:pPr>
    </w:p>
    <w:p w14:paraId="2D7284E1" w14:textId="77777777" w:rsidR="0065481A" w:rsidRPr="00E21B8C" w:rsidRDefault="0065481A" w:rsidP="0065481A">
      <w:pPr>
        <w:pStyle w:val="ListParagraph"/>
        <w:spacing w:after="200" w:line="240" w:lineRule="auto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Sống còn 5 năm theo loại UT tuyến giáp và giai đoạn bệnh.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1250"/>
        <w:gridCol w:w="1330"/>
        <w:gridCol w:w="1236"/>
        <w:gridCol w:w="1590"/>
      </w:tblGrid>
      <w:tr w:rsidR="0065481A" w14:paraId="764FD194" w14:textId="77777777" w:rsidTr="00F80961">
        <w:trPr>
          <w:trHeight w:val="68"/>
          <w:jc w:val="center"/>
        </w:trPr>
        <w:tc>
          <w:tcPr>
            <w:tcW w:w="0" w:type="auto"/>
            <w:vMerge w:val="restart"/>
          </w:tcPr>
          <w:p w14:paraId="1D606BE1" w14:textId="77777777" w:rsidR="0065481A" w:rsidRPr="00031B52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31B5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Giai đoạn bệnh</w:t>
            </w:r>
          </w:p>
        </w:tc>
        <w:tc>
          <w:tcPr>
            <w:tcW w:w="0" w:type="auto"/>
            <w:gridSpan w:val="4"/>
          </w:tcPr>
          <w:p w14:paraId="17175CCD" w14:textId="77777777" w:rsidR="0065481A" w:rsidRPr="00031B52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31B5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Tỉ lệ sống còn 5 năm</w:t>
            </w:r>
          </w:p>
        </w:tc>
      </w:tr>
      <w:tr w:rsidR="0065481A" w14:paraId="08A35350" w14:textId="77777777" w:rsidTr="00F80961">
        <w:trPr>
          <w:trHeight w:val="67"/>
          <w:jc w:val="center"/>
        </w:trPr>
        <w:tc>
          <w:tcPr>
            <w:tcW w:w="0" w:type="auto"/>
            <w:vMerge/>
          </w:tcPr>
          <w:p w14:paraId="6F2801F0" w14:textId="77777777" w:rsidR="0065481A" w:rsidRPr="00031B52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6CDF5908" w14:textId="77777777" w:rsidR="0065481A" w:rsidRPr="00031B52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Dạng nhú</w:t>
            </w:r>
          </w:p>
        </w:tc>
        <w:tc>
          <w:tcPr>
            <w:tcW w:w="0" w:type="auto"/>
          </w:tcPr>
          <w:p w14:paraId="4F678A0E" w14:textId="77777777" w:rsidR="0065481A" w:rsidRPr="00031B52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Dạng nang</w:t>
            </w:r>
          </w:p>
        </w:tc>
        <w:tc>
          <w:tcPr>
            <w:tcW w:w="0" w:type="auto"/>
          </w:tcPr>
          <w:p w14:paraId="5228288E" w14:textId="77777777" w:rsidR="0065481A" w:rsidRPr="00031B52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Dạng tuỷ</w:t>
            </w:r>
          </w:p>
        </w:tc>
        <w:tc>
          <w:tcPr>
            <w:tcW w:w="0" w:type="auto"/>
          </w:tcPr>
          <w:p w14:paraId="69A8B7E2" w14:textId="77777777" w:rsidR="0065481A" w:rsidRPr="00031B52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Kém biệt hoá</w:t>
            </w:r>
          </w:p>
        </w:tc>
      </w:tr>
      <w:tr w:rsidR="0065481A" w14:paraId="56AC64C8" w14:textId="77777777" w:rsidTr="00F80961">
        <w:trPr>
          <w:jc w:val="center"/>
        </w:trPr>
        <w:tc>
          <w:tcPr>
            <w:tcW w:w="0" w:type="auto"/>
          </w:tcPr>
          <w:p w14:paraId="7CBFE15A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Còn khu trú tại tuyến giáp</w:t>
            </w:r>
          </w:p>
        </w:tc>
        <w:tc>
          <w:tcPr>
            <w:tcW w:w="0" w:type="auto"/>
          </w:tcPr>
          <w:p w14:paraId="683529DC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Gần 100%</w:t>
            </w:r>
          </w:p>
        </w:tc>
        <w:tc>
          <w:tcPr>
            <w:tcW w:w="0" w:type="auto"/>
          </w:tcPr>
          <w:p w14:paraId="5A93D9FA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Gần 100%</w:t>
            </w:r>
          </w:p>
        </w:tc>
        <w:tc>
          <w:tcPr>
            <w:tcW w:w="0" w:type="auto"/>
          </w:tcPr>
          <w:p w14:paraId="751E2BBA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Gần 100%</w:t>
            </w:r>
          </w:p>
        </w:tc>
        <w:tc>
          <w:tcPr>
            <w:tcW w:w="0" w:type="auto"/>
          </w:tcPr>
          <w:p w14:paraId="21806B98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34%</w:t>
            </w:r>
          </w:p>
        </w:tc>
      </w:tr>
      <w:tr w:rsidR="0065481A" w14:paraId="4501817D" w14:textId="77777777" w:rsidTr="00F80961">
        <w:trPr>
          <w:jc w:val="center"/>
        </w:trPr>
        <w:tc>
          <w:tcPr>
            <w:tcW w:w="0" w:type="auto"/>
          </w:tcPr>
          <w:p w14:paraId="2EA34032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căn hạch</w:t>
            </w:r>
          </w:p>
        </w:tc>
        <w:tc>
          <w:tcPr>
            <w:tcW w:w="0" w:type="auto"/>
          </w:tcPr>
          <w:p w14:paraId="47E29B73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99%</w:t>
            </w:r>
          </w:p>
        </w:tc>
        <w:tc>
          <w:tcPr>
            <w:tcW w:w="0" w:type="auto"/>
          </w:tcPr>
          <w:p w14:paraId="5B726A16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98%</w:t>
            </w:r>
          </w:p>
        </w:tc>
        <w:tc>
          <w:tcPr>
            <w:tcW w:w="0" w:type="auto"/>
          </w:tcPr>
          <w:p w14:paraId="4F5CA9A1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90%</w:t>
            </w:r>
          </w:p>
        </w:tc>
        <w:tc>
          <w:tcPr>
            <w:tcW w:w="0" w:type="auto"/>
          </w:tcPr>
          <w:p w14:paraId="30E464F3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9%</w:t>
            </w:r>
          </w:p>
        </w:tc>
      </w:tr>
      <w:tr w:rsidR="0065481A" w14:paraId="71AE9487" w14:textId="77777777" w:rsidTr="00F80961">
        <w:trPr>
          <w:jc w:val="center"/>
        </w:trPr>
        <w:tc>
          <w:tcPr>
            <w:tcW w:w="0" w:type="auto"/>
          </w:tcPr>
          <w:p w14:paraId="65D16FA0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căn xa</w:t>
            </w:r>
          </w:p>
        </w:tc>
        <w:tc>
          <w:tcPr>
            <w:tcW w:w="0" w:type="auto"/>
          </w:tcPr>
          <w:p w14:paraId="2EB43773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75%</w:t>
            </w:r>
          </w:p>
        </w:tc>
        <w:tc>
          <w:tcPr>
            <w:tcW w:w="0" w:type="auto"/>
          </w:tcPr>
          <w:p w14:paraId="52C006F3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63%</w:t>
            </w:r>
          </w:p>
        </w:tc>
        <w:tc>
          <w:tcPr>
            <w:tcW w:w="0" w:type="auto"/>
          </w:tcPr>
          <w:p w14:paraId="2BD77FC1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40%</w:t>
            </w:r>
          </w:p>
        </w:tc>
        <w:tc>
          <w:tcPr>
            <w:tcW w:w="0" w:type="auto"/>
          </w:tcPr>
          <w:p w14:paraId="054CE309" w14:textId="77777777" w:rsidR="0065481A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4%</w:t>
            </w:r>
          </w:p>
        </w:tc>
      </w:tr>
      <w:tr w:rsidR="0065481A" w14:paraId="531ABB04" w14:textId="77777777" w:rsidTr="00F80961">
        <w:trPr>
          <w:jc w:val="center"/>
        </w:trPr>
        <w:tc>
          <w:tcPr>
            <w:tcW w:w="0" w:type="auto"/>
          </w:tcPr>
          <w:p w14:paraId="5184EB17" w14:textId="77777777" w:rsidR="0065481A" w:rsidRPr="00031B52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031B52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Tính chung</w:t>
            </w:r>
          </w:p>
        </w:tc>
        <w:tc>
          <w:tcPr>
            <w:tcW w:w="0" w:type="auto"/>
          </w:tcPr>
          <w:p w14:paraId="733BA87F" w14:textId="77777777" w:rsidR="0065481A" w:rsidRPr="008B48B4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B48B4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Gần 100%</w:t>
            </w:r>
          </w:p>
        </w:tc>
        <w:tc>
          <w:tcPr>
            <w:tcW w:w="0" w:type="auto"/>
          </w:tcPr>
          <w:p w14:paraId="52BBF37E" w14:textId="77777777" w:rsidR="0065481A" w:rsidRPr="008B48B4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98%</w:t>
            </w:r>
          </w:p>
        </w:tc>
        <w:tc>
          <w:tcPr>
            <w:tcW w:w="0" w:type="auto"/>
          </w:tcPr>
          <w:p w14:paraId="0F78FD39" w14:textId="77777777" w:rsidR="0065481A" w:rsidRPr="008B48B4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89%</w:t>
            </w:r>
          </w:p>
        </w:tc>
        <w:tc>
          <w:tcPr>
            <w:tcW w:w="0" w:type="auto"/>
          </w:tcPr>
          <w:p w14:paraId="2F971C05" w14:textId="77777777" w:rsidR="0065481A" w:rsidRPr="008B48B4" w:rsidRDefault="0065481A" w:rsidP="00F809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7%</w:t>
            </w:r>
          </w:p>
        </w:tc>
      </w:tr>
    </w:tbl>
    <w:p w14:paraId="43856211" w14:textId="77777777" w:rsidR="0065481A" w:rsidRPr="00172E30" w:rsidRDefault="0065481A" w:rsidP="0065481A">
      <w:pPr>
        <w:pStyle w:val="ListParagraph"/>
        <w:spacing w:after="200" w:line="240" w:lineRule="auto"/>
        <w:jc w:val="center"/>
        <w:rPr>
          <w:rFonts w:cs="Times New Roman"/>
          <w:szCs w:val="24"/>
          <w:lang w:val="it-IT"/>
        </w:rPr>
      </w:pPr>
    </w:p>
    <w:p w14:paraId="6F10094E" w14:textId="77777777" w:rsidR="0065481A" w:rsidRPr="0033278A" w:rsidRDefault="0065481A" w:rsidP="0065481A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="Times New Roman"/>
          <w:szCs w:val="24"/>
          <w:lang w:val="it-IT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CHỈ </w:t>
      </w:r>
      <w:r>
        <w:rPr>
          <w:rFonts w:ascii="TimesNewRomanPS-BoldMT" w:hAnsi="TimesNewRomanPS-BoldMT" w:hint="eastAsia"/>
          <w:b/>
          <w:bCs/>
          <w:color w:val="000000"/>
          <w:sz w:val="26"/>
          <w:szCs w:val="26"/>
        </w:rPr>
        <w:t>Đ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ỊNH NHẬP VIỆN:</w:t>
      </w:r>
    </w:p>
    <w:p w14:paraId="5541DB16" w14:textId="77777777" w:rsidR="0065481A" w:rsidRDefault="0065481A" w:rsidP="0065481A">
      <w:pPr>
        <w:pStyle w:val="ListParagraph"/>
        <w:spacing w:after="0" w:line="240" w:lineRule="auto"/>
        <w:jc w:val="both"/>
        <w:rPr>
          <w:rFonts w:cs="Times New Roman"/>
          <w:szCs w:val="24"/>
          <w:lang w:val="it-IT"/>
        </w:rPr>
      </w:pPr>
      <w:r w:rsidRPr="00506A2E">
        <w:rPr>
          <w:rFonts w:cs="Times New Roman"/>
          <w:i/>
          <w:szCs w:val="24"/>
          <w:lang w:val="it-IT"/>
        </w:rPr>
        <w:t>Siêu âm tuyến giáp và FNA tuyến giáp nghi ngờ ác tính hoặc ác tính.</w:t>
      </w:r>
    </w:p>
    <w:p w14:paraId="5A7ECE9B" w14:textId="77777777" w:rsidR="0065481A" w:rsidRPr="00CE4ADA" w:rsidRDefault="0065481A" w:rsidP="0065481A">
      <w:pPr>
        <w:pStyle w:val="ListParagraph"/>
        <w:spacing w:after="0" w:line="240" w:lineRule="auto"/>
        <w:jc w:val="both"/>
        <w:rPr>
          <w:rFonts w:cs="Times New Roman"/>
          <w:szCs w:val="24"/>
          <w:lang w:val="it-IT"/>
        </w:rPr>
      </w:pPr>
    </w:p>
    <w:p w14:paraId="4DC8F490" w14:textId="77777777" w:rsidR="0065481A" w:rsidRDefault="0065481A" w:rsidP="0065481A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="Times New Roman"/>
          <w:b/>
          <w:szCs w:val="24"/>
          <w:lang w:val="it-IT"/>
        </w:rPr>
      </w:pPr>
      <w:r>
        <w:rPr>
          <w:rFonts w:cs="Times New Roman"/>
          <w:b/>
          <w:szCs w:val="24"/>
          <w:lang w:val="it-IT"/>
        </w:rPr>
        <w:t>THEO DÕI</w:t>
      </w:r>
      <w:r w:rsidRPr="00914C5A">
        <w:rPr>
          <w:rFonts w:cs="Times New Roman"/>
          <w:b/>
          <w:szCs w:val="24"/>
          <w:lang w:val="it-IT"/>
        </w:rPr>
        <w:t>:</w:t>
      </w:r>
    </w:p>
    <w:p w14:paraId="315B1380" w14:textId="77777777" w:rsidR="0065481A" w:rsidRPr="003260BD" w:rsidRDefault="0065481A" w:rsidP="0065481A">
      <w:pPr>
        <w:pStyle w:val="ListParagraph"/>
        <w:spacing w:after="200" w:line="240" w:lineRule="auto"/>
        <w:jc w:val="both"/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t>Theo dõi định kỳ bằng siêu âm tuyến giáp, xét nghiệm chức năng tuyến giáp (TSH, fT4)</w:t>
      </w:r>
      <w:r w:rsidRPr="003260BD">
        <w:rPr>
          <w:rFonts w:cs="Times New Roman"/>
          <w:szCs w:val="24"/>
          <w:lang w:val="it-IT"/>
        </w:rPr>
        <w:t>.</w:t>
      </w:r>
    </w:p>
    <w:p w14:paraId="0E07F184" w14:textId="77777777" w:rsidR="0065481A" w:rsidRPr="0033278A" w:rsidRDefault="0065481A" w:rsidP="0065481A">
      <w:pPr>
        <w:pStyle w:val="ListParagraph"/>
        <w:spacing w:after="200" w:line="240" w:lineRule="auto"/>
        <w:jc w:val="both"/>
        <w:rPr>
          <w:rFonts w:cs="Times New Roman"/>
          <w:szCs w:val="24"/>
          <w:lang w:val="it-IT"/>
        </w:rPr>
      </w:pPr>
    </w:p>
    <w:p w14:paraId="61C90A86" w14:textId="77777777" w:rsidR="0065481A" w:rsidRPr="009854B3" w:rsidRDefault="0065481A" w:rsidP="0065481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854B3">
        <w:rPr>
          <w:rFonts w:eastAsia="Times New Roman" w:cs="Times New Roman"/>
          <w:b/>
          <w:szCs w:val="24"/>
        </w:rPr>
        <w:t>TÀI LIỆU</w:t>
      </w:r>
      <w:r>
        <w:rPr>
          <w:rFonts w:eastAsia="Times New Roman" w:cs="Times New Roman"/>
          <w:b/>
          <w:szCs w:val="24"/>
        </w:rPr>
        <w:t xml:space="preserve"> THAM KHẢO</w:t>
      </w:r>
      <w:r w:rsidRPr="009854B3">
        <w:rPr>
          <w:rFonts w:eastAsia="Times New Roman" w:cs="Times New Roman"/>
          <w:b/>
          <w:szCs w:val="24"/>
        </w:rPr>
        <w:t>:</w:t>
      </w:r>
    </w:p>
    <w:p w14:paraId="78A5B202" w14:textId="77777777" w:rsidR="0065481A" w:rsidRPr="0025541F" w:rsidRDefault="0065481A" w:rsidP="0065481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 w:rsidRPr="00441932">
        <w:rPr>
          <w:rFonts w:cs="Times New Roman"/>
          <w:color w:val="212121"/>
          <w:szCs w:val="24"/>
          <w:shd w:val="clear" w:color="auto" w:fill="FFFFFF"/>
        </w:rPr>
        <w:t xml:space="preserve">Cibas ES, Ali SZ </w:t>
      </w:r>
      <w:r>
        <w:rPr>
          <w:rFonts w:cs="Times New Roman"/>
          <w:color w:val="212121"/>
          <w:szCs w:val="24"/>
          <w:shd w:val="clear" w:color="auto" w:fill="FFFFFF"/>
        </w:rPr>
        <w:t xml:space="preserve">(2017). </w:t>
      </w:r>
      <w:r w:rsidRPr="00441932">
        <w:rPr>
          <w:rFonts w:cs="Times New Roman"/>
          <w:color w:val="212121"/>
          <w:szCs w:val="24"/>
          <w:shd w:val="clear" w:color="auto" w:fill="FFFFFF"/>
        </w:rPr>
        <w:t>The</w:t>
      </w:r>
      <w:r>
        <w:rPr>
          <w:rFonts w:cs="Times New Roman"/>
          <w:color w:val="212121"/>
          <w:szCs w:val="24"/>
          <w:shd w:val="clear" w:color="auto" w:fill="FFFFFF"/>
        </w:rPr>
        <w:t xml:space="preserve"> 2017</w:t>
      </w:r>
      <w:r w:rsidRPr="00441932">
        <w:rPr>
          <w:rFonts w:cs="Times New Roman"/>
          <w:color w:val="212121"/>
          <w:szCs w:val="24"/>
          <w:shd w:val="clear" w:color="auto" w:fill="FFFFFF"/>
        </w:rPr>
        <w:t xml:space="preserve"> Bethesda System for Reporting Thyroid Cytopathology. Thyroid;</w:t>
      </w:r>
      <w:r>
        <w:rPr>
          <w:rFonts w:cs="Times New Roman"/>
          <w:color w:val="212121"/>
          <w:szCs w:val="24"/>
          <w:shd w:val="clear" w:color="auto" w:fill="FFFFFF"/>
        </w:rPr>
        <w:t xml:space="preserve"> </w:t>
      </w:r>
      <w:r w:rsidRPr="00441932">
        <w:rPr>
          <w:rFonts w:cs="Times New Roman"/>
          <w:color w:val="212121"/>
          <w:szCs w:val="24"/>
          <w:shd w:val="clear" w:color="auto" w:fill="FFFFFF"/>
        </w:rPr>
        <w:t>27(11):1341-1346.</w:t>
      </w:r>
    </w:p>
    <w:p w14:paraId="07AAF62F" w14:textId="77777777" w:rsidR="0065481A" w:rsidRPr="0025541F" w:rsidRDefault="0065481A" w:rsidP="0065481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 w:rsidRPr="0025541F">
        <w:rPr>
          <w:rFonts w:cs="Times New Roman"/>
          <w:color w:val="212121"/>
          <w:szCs w:val="24"/>
          <w:shd w:val="clear" w:color="auto" w:fill="FFFFFF"/>
        </w:rPr>
        <w:t>Haugen BR</w:t>
      </w:r>
      <w:r>
        <w:rPr>
          <w:rFonts w:cs="Times New Roman"/>
          <w:color w:val="212121"/>
          <w:szCs w:val="24"/>
          <w:shd w:val="clear" w:color="auto" w:fill="FFFFFF"/>
        </w:rPr>
        <w:t xml:space="preserve"> et al (2016)</w:t>
      </w:r>
      <w:r w:rsidRPr="0025541F">
        <w:rPr>
          <w:rFonts w:cs="Times New Roman"/>
          <w:color w:val="212121"/>
          <w:szCs w:val="24"/>
          <w:shd w:val="clear" w:color="auto" w:fill="FFFFFF"/>
        </w:rPr>
        <w:t>. 2015 American Thyroid Association Management Guidelines for Adult Patients with Thyroid Nodules and Differentiated Thyroid Cancer: The American Thyroid Association Guidelines Task Force on Thyroid Nodules and Differentiated Thyroid Cancer. Thyroid;</w:t>
      </w:r>
      <w:r>
        <w:rPr>
          <w:rFonts w:cs="Times New Roman"/>
          <w:color w:val="212121"/>
          <w:szCs w:val="24"/>
          <w:shd w:val="clear" w:color="auto" w:fill="FFFFFF"/>
        </w:rPr>
        <w:t xml:space="preserve"> </w:t>
      </w:r>
      <w:r w:rsidRPr="0025541F">
        <w:rPr>
          <w:rFonts w:cs="Times New Roman"/>
          <w:color w:val="212121"/>
          <w:szCs w:val="24"/>
          <w:shd w:val="clear" w:color="auto" w:fill="FFFFFF"/>
        </w:rPr>
        <w:t xml:space="preserve">26(1):1-133. </w:t>
      </w:r>
    </w:p>
    <w:p w14:paraId="44B31B80" w14:textId="77777777" w:rsidR="0065481A" w:rsidRPr="003260BD" w:rsidRDefault="0065481A" w:rsidP="0065481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Phác đồ điều trị năm 2018, Phần ngoại khoa. Bệnh viện Đa khoa Đồng Nai.</w:t>
      </w:r>
    </w:p>
    <w:p w14:paraId="2632E0B5" w14:textId="77777777" w:rsidR="0065481A" w:rsidRDefault="0065481A" w:rsidP="0065481A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Ung thư tuyến giáp (Chưa xuất bản). Bài giảng Ung Bướu học lâm sàng – Cơ quan đầu cổ, phổi. Bộ môn Ung thư, Đại học Y Dược TPHCM.</w:t>
      </w:r>
    </w:p>
    <w:p w14:paraId="08E3461E" w14:textId="77777777" w:rsidR="0065481A" w:rsidRPr="004F189F" w:rsidRDefault="0065481A" w:rsidP="0065481A">
      <w:pPr>
        <w:spacing w:after="0" w:line="240" w:lineRule="auto"/>
        <w:contextualSpacing/>
        <w:rPr>
          <w:szCs w:val="24"/>
          <w:lang w:val="it-IT"/>
        </w:rPr>
      </w:pPr>
    </w:p>
    <w:p w14:paraId="12058F85" w14:textId="77777777" w:rsidR="0065481A" w:rsidRPr="004F189F" w:rsidRDefault="0065481A" w:rsidP="0065481A">
      <w:pPr>
        <w:spacing w:after="0" w:line="240" w:lineRule="auto"/>
        <w:contextualSpacing/>
        <w:rPr>
          <w:rFonts w:cs="Times New Roman"/>
          <w:szCs w:val="24"/>
        </w:rPr>
      </w:pPr>
    </w:p>
    <w:p w14:paraId="12184A29" w14:textId="77777777" w:rsidR="00335882" w:rsidRPr="0065481A" w:rsidRDefault="00335882" w:rsidP="0065481A"/>
    <w:sectPr w:rsidR="00335882" w:rsidRPr="0065481A" w:rsidSect="00032FDC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AC4AA" w14:textId="77777777" w:rsidR="00A02FD9" w:rsidRDefault="00A02FD9" w:rsidP="00D031C0">
      <w:pPr>
        <w:spacing w:after="0" w:line="240" w:lineRule="auto"/>
      </w:pPr>
      <w:r>
        <w:separator/>
      </w:r>
    </w:p>
  </w:endnote>
  <w:endnote w:type="continuationSeparator" w:id="0">
    <w:p w14:paraId="2567D8BE" w14:textId="77777777" w:rsidR="00A02FD9" w:rsidRDefault="00A02FD9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17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FDA5E" w14:textId="6B2E6AC2" w:rsidR="00001C5E" w:rsidRDefault="00001C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92659" w14:textId="77777777" w:rsidR="00001C5E" w:rsidRDefault="0000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8B109" w14:textId="77777777" w:rsidR="00A02FD9" w:rsidRDefault="00A02FD9" w:rsidP="00D031C0">
      <w:pPr>
        <w:spacing w:after="0" w:line="240" w:lineRule="auto"/>
      </w:pPr>
      <w:r>
        <w:separator/>
      </w:r>
    </w:p>
  </w:footnote>
  <w:footnote w:type="continuationSeparator" w:id="0">
    <w:p w14:paraId="44A43E69" w14:textId="77777777" w:rsidR="00A02FD9" w:rsidRDefault="00A02FD9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2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16"/>
      <w:gridCol w:w="5012"/>
      <w:gridCol w:w="2206"/>
    </w:tblGrid>
    <w:tr w:rsidR="00272405" w:rsidRPr="002B4142" w14:paraId="6E566ECE" w14:textId="77777777" w:rsidTr="00001C5E">
      <w:trPr>
        <w:cantSplit/>
        <w:trHeight w:val="423"/>
      </w:trPr>
      <w:tc>
        <w:tcPr>
          <w:tcW w:w="12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4C6200DD" w14:textId="77777777" w:rsidR="00272405" w:rsidRPr="00D031C0" w:rsidRDefault="00272405" w:rsidP="00D031C0">
          <w:pPr>
            <w:spacing w:after="20"/>
            <w:rPr>
              <w:rFonts w:cs="Times New Roman"/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C7992C3" wp14:editId="2832176A">
                <wp:simplePos x="0" y="0"/>
                <wp:positionH relativeFrom="margin">
                  <wp:posOffset>35296</wp:posOffset>
                </wp:positionH>
                <wp:positionV relativeFrom="paragraph">
                  <wp:posOffset>129540</wp:posOffset>
                </wp:positionV>
                <wp:extent cx="1395730" cy="533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66C80C21" w14:textId="09959C01" w:rsidR="00272405" w:rsidRPr="00DC4773" w:rsidRDefault="004B144D" w:rsidP="00DC4773">
          <w:pPr>
            <w:spacing w:after="20"/>
            <w:jc w:val="center"/>
            <w:rPr>
              <w:rFonts w:eastAsia="Times New Roman" w:cs="Times New Roman"/>
              <w:b/>
              <w:noProof/>
              <w:sz w:val="22"/>
              <w:lang w:val="fr-FR"/>
            </w:rPr>
          </w:pPr>
          <w:r>
            <w:rPr>
              <w:rFonts w:cs="Times New Roman"/>
              <w:b/>
              <w:noProof/>
              <w:sz w:val="22"/>
              <w:lang w:val="fr-FR"/>
            </w:rPr>
            <w:t>PHÁC ĐỒ ĐIỀU TRỊ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A07D912" w14:textId="77777777" w:rsidR="00272405" w:rsidRDefault="00272405" w:rsidP="006464D2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01C5E">
            <w:rPr>
              <w:rFonts w:eastAsia="Times New Roman" w:cs="Times New Roman"/>
              <w:noProof/>
              <w:sz w:val="18"/>
            </w:rPr>
            <w:t>Mã số tài liệu:</w:t>
          </w:r>
        </w:p>
        <w:p w14:paraId="238632C5" w14:textId="6313453E" w:rsidR="00BD7F56" w:rsidRPr="00BD7F56" w:rsidRDefault="00BD7F56" w:rsidP="00BD7F56">
          <w:pPr>
            <w:spacing w:after="0"/>
            <w:jc w:val="center"/>
            <w:rPr>
              <w:rFonts w:eastAsia="Times New Roman" w:cs="Times New Roman"/>
              <w:b/>
              <w:noProof/>
              <w:sz w:val="18"/>
            </w:rPr>
          </w:pPr>
          <w:r w:rsidRPr="00BD7F56">
            <w:rPr>
              <w:rFonts w:eastAsia="Times New Roman" w:cs="Times New Roman"/>
              <w:b/>
              <w:noProof/>
              <w:sz w:val="18"/>
            </w:rPr>
            <w:t>PRO-MO-ONCO-009</w:t>
          </w:r>
        </w:p>
      </w:tc>
    </w:tr>
    <w:tr w:rsidR="00272405" w:rsidRPr="002B4142" w14:paraId="647F16A6" w14:textId="77777777" w:rsidTr="00001C5E">
      <w:trPr>
        <w:cantSplit/>
        <w:trHeight w:val="259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4E5BA5E" w14:textId="77777777" w:rsidR="00272405" w:rsidRDefault="00272405" w:rsidP="00D031C0">
          <w:pPr>
            <w:spacing w:after="20"/>
            <w:rPr>
              <w:noProof/>
            </w:rPr>
          </w:pPr>
        </w:p>
      </w:tc>
      <w:tc>
        <w:tcPr>
          <w:tcW w:w="260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C2B606B" w14:textId="1BCCB341" w:rsidR="00272405" w:rsidRPr="00001C5E" w:rsidRDefault="00110FC9" w:rsidP="00DC4773">
          <w:pPr>
            <w:spacing w:after="0"/>
            <w:jc w:val="center"/>
            <w:rPr>
              <w:rFonts w:cs="Times New Roman"/>
              <w:b/>
              <w:noProof/>
              <w:sz w:val="32"/>
              <w:szCs w:val="32"/>
              <w:lang w:val="fr-FR"/>
            </w:rPr>
          </w:pPr>
          <w:r w:rsidRPr="00001C5E">
            <w:rPr>
              <w:rFonts w:cs="Times New Roman"/>
              <w:b/>
              <w:sz w:val="32"/>
              <w:szCs w:val="32"/>
            </w:rPr>
            <w:t>UNG THƯ TUYẾN GIÁP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71ED286" w14:textId="6C81BDC7" w:rsidR="00272405" w:rsidRPr="00001C5E" w:rsidRDefault="00272405" w:rsidP="006464D2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01C5E">
            <w:rPr>
              <w:rFonts w:eastAsia="Times New Roman" w:cs="Times New Roman"/>
              <w:noProof/>
              <w:sz w:val="18"/>
            </w:rPr>
            <w:t>Phiên bản:</w:t>
          </w:r>
          <w:r w:rsidR="00F373B6" w:rsidRPr="00001C5E">
            <w:rPr>
              <w:rFonts w:eastAsia="Times New Roman" w:cs="Times New Roman"/>
              <w:noProof/>
              <w:sz w:val="18"/>
            </w:rPr>
            <w:t xml:space="preserve"> 0</w:t>
          </w:r>
          <w:r w:rsidR="00001C5E">
            <w:rPr>
              <w:rFonts w:eastAsia="Times New Roman" w:cs="Times New Roman"/>
              <w:noProof/>
              <w:sz w:val="18"/>
            </w:rPr>
            <w:t>0</w:t>
          </w:r>
        </w:p>
      </w:tc>
    </w:tr>
    <w:tr w:rsidR="00272405" w:rsidRPr="002B4142" w14:paraId="7315935D" w14:textId="77777777" w:rsidTr="00001C5E">
      <w:trPr>
        <w:cantSplit/>
        <w:trHeight w:val="277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A94D271" w14:textId="77777777" w:rsidR="00272405" w:rsidRDefault="00272405" w:rsidP="00D031C0">
          <w:pPr>
            <w:spacing w:after="20"/>
            <w:rPr>
              <w:noProof/>
            </w:rPr>
          </w:pPr>
        </w:p>
      </w:tc>
      <w:tc>
        <w:tcPr>
          <w:tcW w:w="2601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A5A27B8" w14:textId="77777777" w:rsidR="00272405" w:rsidRPr="00DC4773" w:rsidRDefault="00272405" w:rsidP="00DC4773">
          <w:pPr>
            <w:spacing w:after="0"/>
            <w:jc w:val="center"/>
            <w:rPr>
              <w:rFonts w:eastAsia="Calibri" w:cs="Times New Roman"/>
              <w:b/>
              <w:sz w:val="28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FB2A2A0" w14:textId="0B247FEC" w:rsidR="00272405" w:rsidRPr="00001C5E" w:rsidRDefault="00272405" w:rsidP="006464D2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01C5E">
            <w:rPr>
              <w:rFonts w:eastAsia="Times New Roman" w:cs="Times New Roman"/>
              <w:noProof/>
              <w:sz w:val="18"/>
            </w:rPr>
            <w:t>Ngày hiệu lực</w:t>
          </w:r>
          <w:r w:rsidR="00F373B6" w:rsidRPr="00001C5E">
            <w:rPr>
              <w:rFonts w:eastAsia="Times New Roman" w:cs="Times New Roman"/>
              <w:noProof/>
              <w:sz w:val="18"/>
            </w:rPr>
            <w:t xml:space="preserve">: </w:t>
          </w:r>
          <w:r w:rsidR="00001C5E">
            <w:rPr>
              <w:rFonts w:eastAsia="Times New Roman" w:cs="Times New Roman"/>
              <w:noProof/>
              <w:sz w:val="18"/>
            </w:rPr>
            <w:t>15</w:t>
          </w:r>
          <w:r w:rsidR="00F373B6" w:rsidRPr="00001C5E">
            <w:rPr>
              <w:rFonts w:eastAsia="Times New Roman" w:cs="Times New Roman"/>
              <w:noProof/>
              <w:sz w:val="18"/>
            </w:rPr>
            <w:t>/</w:t>
          </w:r>
          <w:r w:rsidR="00001C5E">
            <w:rPr>
              <w:rFonts w:eastAsia="Times New Roman" w:cs="Times New Roman"/>
              <w:noProof/>
              <w:sz w:val="18"/>
            </w:rPr>
            <w:t>11</w:t>
          </w:r>
          <w:r w:rsidR="00F373B6" w:rsidRPr="00001C5E">
            <w:rPr>
              <w:rFonts w:eastAsia="Times New Roman" w:cs="Times New Roman"/>
              <w:noProof/>
              <w:sz w:val="18"/>
            </w:rPr>
            <w:t>/2022</w:t>
          </w:r>
        </w:p>
      </w:tc>
    </w:tr>
    <w:tr w:rsidR="00272405" w:rsidRPr="00E456F3" w14:paraId="6DA1783F" w14:textId="77777777" w:rsidTr="00001C5E">
      <w:trPr>
        <w:cantSplit/>
        <w:trHeight w:val="138"/>
      </w:trPr>
      <w:tc>
        <w:tcPr>
          <w:tcW w:w="12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DC33C51" w14:textId="77777777" w:rsidR="00272405" w:rsidRDefault="00272405" w:rsidP="00D031C0">
          <w:pPr>
            <w:spacing w:after="0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260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65EDA7B2" w14:textId="77777777" w:rsidR="00272405" w:rsidRPr="00D031C0" w:rsidRDefault="00272405" w:rsidP="00DC4773">
          <w:pPr>
            <w:spacing w:after="0"/>
            <w:jc w:val="center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9474150" w14:textId="49DC85AB" w:rsidR="00272405" w:rsidRPr="00001C5E" w:rsidRDefault="00272405" w:rsidP="00272405">
          <w:pPr>
            <w:spacing w:after="20"/>
            <w:rPr>
              <w:rFonts w:eastAsia="Times New Roman" w:cs="Times New Roman"/>
              <w:noProof/>
              <w:sz w:val="16"/>
            </w:rPr>
          </w:pPr>
          <w:r w:rsidRPr="00001C5E">
            <w:rPr>
              <w:rFonts w:eastAsia="Times New Roman" w:cs="Times New Roman"/>
              <w:noProof/>
              <w:sz w:val="18"/>
            </w:rPr>
            <w:t>Số trang:</w:t>
          </w:r>
          <w:r w:rsidR="0065481A" w:rsidRPr="00001C5E">
            <w:rPr>
              <w:rFonts w:eastAsia="Times New Roman" w:cs="Times New Roman"/>
              <w:noProof/>
              <w:sz w:val="18"/>
            </w:rPr>
            <w:t xml:space="preserve"> 05</w:t>
          </w:r>
        </w:p>
      </w:tc>
    </w:tr>
  </w:tbl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7EDA"/>
    <w:multiLevelType w:val="multilevel"/>
    <w:tmpl w:val="7CA434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6A6"/>
    <w:multiLevelType w:val="hybridMultilevel"/>
    <w:tmpl w:val="BF48C6C8"/>
    <w:lvl w:ilvl="0" w:tplc="30E08736">
      <w:start w:val="2"/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716C5E"/>
    <w:multiLevelType w:val="multilevel"/>
    <w:tmpl w:val="A4582F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/>
        <w:i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  <w:i/>
      </w:rPr>
    </w:lvl>
  </w:abstractNum>
  <w:abstractNum w:abstractNumId="5" w15:restartNumberingAfterBreak="0">
    <w:nsid w:val="3C0A167D"/>
    <w:multiLevelType w:val="multilevel"/>
    <w:tmpl w:val="15245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F0F77"/>
    <w:multiLevelType w:val="multilevel"/>
    <w:tmpl w:val="9B2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  <w:i/>
      </w:rPr>
    </w:lvl>
  </w:abstractNum>
  <w:abstractNum w:abstractNumId="8" w15:restartNumberingAfterBreak="0">
    <w:nsid w:val="7A1F475E"/>
    <w:multiLevelType w:val="hybridMultilevel"/>
    <w:tmpl w:val="09D44A50"/>
    <w:lvl w:ilvl="0" w:tplc="7DDE0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01C5E"/>
    <w:rsid w:val="00032FDC"/>
    <w:rsid w:val="0007505E"/>
    <w:rsid w:val="000D6AA1"/>
    <w:rsid w:val="000F4121"/>
    <w:rsid w:val="00110FC9"/>
    <w:rsid w:val="00111AB1"/>
    <w:rsid w:val="001D7A59"/>
    <w:rsid w:val="001E6E00"/>
    <w:rsid w:val="001F7A3C"/>
    <w:rsid w:val="00217816"/>
    <w:rsid w:val="00272405"/>
    <w:rsid w:val="002775D5"/>
    <w:rsid w:val="00335882"/>
    <w:rsid w:val="0036737C"/>
    <w:rsid w:val="00375912"/>
    <w:rsid w:val="00386672"/>
    <w:rsid w:val="003A2E82"/>
    <w:rsid w:val="003B12E4"/>
    <w:rsid w:val="003B58BC"/>
    <w:rsid w:val="0046470B"/>
    <w:rsid w:val="004A0325"/>
    <w:rsid w:val="004B144D"/>
    <w:rsid w:val="005861B7"/>
    <w:rsid w:val="006464D2"/>
    <w:rsid w:val="0065481A"/>
    <w:rsid w:val="0067246F"/>
    <w:rsid w:val="00693FDA"/>
    <w:rsid w:val="007159F6"/>
    <w:rsid w:val="007B2808"/>
    <w:rsid w:val="008836FE"/>
    <w:rsid w:val="008C3AB2"/>
    <w:rsid w:val="008C78F5"/>
    <w:rsid w:val="00943209"/>
    <w:rsid w:val="009C6210"/>
    <w:rsid w:val="00A02FD9"/>
    <w:rsid w:val="00A139AD"/>
    <w:rsid w:val="00A13EC1"/>
    <w:rsid w:val="00A44621"/>
    <w:rsid w:val="00B671DD"/>
    <w:rsid w:val="00BD7F56"/>
    <w:rsid w:val="00BF60DB"/>
    <w:rsid w:val="00C823A1"/>
    <w:rsid w:val="00C82BEB"/>
    <w:rsid w:val="00D031C0"/>
    <w:rsid w:val="00DA7DB7"/>
    <w:rsid w:val="00DC4773"/>
    <w:rsid w:val="00E14DB6"/>
    <w:rsid w:val="00E35BA7"/>
    <w:rsid w:val="00E37A4F"/>
    <w:rsid w:val="00EA27D8"/>
    <w:rsid w:val="00F373B6"/>
    <w:rsid w:val="00F90B68"/>
    <w:rsid w:val="00F90FBC"/>
    <w:rsid w:val="00F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table" w:styleId="TableGrid">
    <w:name w:val="Table Grid"/>
    <w:basedOn w:val="TableNormal"/>
    <w:uiPriority w:val="39"/>
    <w:rsid w:val="0065481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0104-DC24-4B29-A93A-131CF756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</cp:revision>
  <dcterms:created xsi:type="dcterms:W3CDTF">2022-11-04T06:49:00Z</dcterms:created>
  <dcterms:modified xsi:type="dcterms:W3CDTF">2022-11-04T06:52:00Z</dcterms:modified>
</cp:coreProperties>
</file>