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1D074753" w:rsidR="00353AF2" w:rsidRPr="009C2F94" w:rsidRDefault="00353AF2" w:rsidP="00DD6A51">
      <w:pPr>
        <w:pStyle w:val="ListParagraph"/>
        <w:numPr>
          <w:ilvl w:val="0"/>
          <w:numId w:val="29"/>
        </w:numPr>
        <w:spacing w:after="0" w:line="360" w:lineRule="auto"/>
        <w:ind w:left="426"/>
        <w:jc w:val="both"/>
        <w:rPr>
          <w:b/>
          <w:bCs/>
          <w:sz w:val="28"/>
          <w:szCs w:val="28"/>
        </w:rPr>
      </w:pPr>
      <w:r w:rsidRPr="009C2F94">
        <w:rPr>
          <w:b/>
          <w:bCs/>
          <w:sz w:val="28"/>
          <w:szCs w:val="28"/>
        </w:rPr>
        <w:t>ĐẠI CƯƠNG</w:t>
      </w:r>
      <w:bookmarkStart w:id="0" w:name="_GoBack"/>
      <w:bookmarkEnd w:id="0"/>
    </w:p>
    <w:p w14:paraId="31DA8826" w14:textId="06A5E9B5" w:rsidR="00353AF2" w:rsidRPr="009C2F94" w:rsidRDefault="00353AF2" w:rsidP="00DD6A51">
      <w:pPr>
        <w:pStyle w:val="BodyText"/>
        <w:numPr>
          <w:ilvl w:val="0"/>
          <w:numId w:val="28"/>
        </w:numPr>
        <w:spacing w:line="360" w:lineRule="auto"/>
        <w:ind w:left="426" w:right="266"/>
        <w:rPr>
          <w:sz w:val="26"/>
          <w:szCs w:val="26"/>
        </w:rPr>
      </w:pPr>
      <w:r w:rsidRPr="009D5569">
        <w:rPr>
          <w:sz w:val="26"/>
          <w:szCs w:val="26"/>
        </w:rPr>
        <w:t>Bệnh gút là bệnh viêm khớp do vi tinh thể, đặc trưng bởi những đợt viêm khớp cấp tái phát, có lắng đọng tinh thể muối urat natri trong các mô, gây ra do tăng acid uric trong máu. Đây là bệnh do rối loạn chuyển hóa nhân purin, thuộc nhóm bệnh rối loạn chuyển</w:t>
      </w:r>
      <w:r w:rsidRPr="009D5569">
        <w:rPr>
          <w:spacing w:val="-1"/>
          <w:sz w:val="26"/>
          <w:szCs w:val="26"/>
        </w:rPr>
        <w:t xml:space="preserve"> </w:t>
      </w:r>
      <w:r w:rsidRPr="009D5569">
        <w:rPr>
          <w:sz w:val="26"/>
          <w:szCs w:val="26"/>
        </w:rPr>
        <w:t>hóa.</w:t>
      </w:r>
    </w:p>
    <w:p w14:paraId="25C83EBA" w14:textId="77777777" w:rsidR="00353AF2" w:rsidRPr="009C2F94" w:rsidRDefault="00353AF2" w:rsidP="00DD6A51">
      <w:pPr>
        <w:pStyle w:val="ListParagraph"/>
        <w:numPr>
          <w:ilvl w:val="0"/>
          <w:numId w:val="29"/>
        </w:numPr>
        <w:spacing w:before="120" w:after="0" w:line="360" w:lineRule="auto"/>
        <w:ind w:left="426"/>
        <w:jc w:val="both"/>
        <w:rPr>
          <w:b/>
          <w:bCs/>
          <w:sz w:val="28"/>
          <w:szCs w:val="28"/>
        </w:rPr>
      </w:pPr>
      <w:r w:rsidRPr="009C2F94">
        <w:rPr>
          <w:b/>
          <w:bCs/>
          <w:sz w:val="28"/>
          <w:szCs w:val="28"/>
        </w:rPr>
        <w:t>NGUYÊN NHÂN</w:t>
      </w:r>
    </w:p>
    <w:p w14:paraId="0E1B2543" w14:textId="325D8B65" w:rsidR="00353AF2" w:rsidRDefault="00353AF2" w:rsidP="00DD6A51">
      <w:pPr>
        <w:pStyle w:val="BodyText"/>
        <w:numPr>
          <w:ilvl w:val="0"/>
          <w:numId w:val="28"/>
        </w:numPr>
        <w:spacing w:before="0" w:line="360" w:lineRule="auto"/>
        <w:ind w:left="426" w:right="266"/>
        <w:rPr>
          <w:sz w:val="26"/>
          <w:szCs w:val="26"/>
        </w:rPr>
      </w:pPr>
      <w:r w:rsidRPr="009D5569">
        <w:rPr>
          <w:sz w:val="26"/>
          <w:szCs w:val="26"/>
        </w:rPr>
        <w:t>Chia làm hai loại: gút nguyên phát (đa số các trường hợp) và gút thứ phát.</w:t>
      </w:r>
    </w:p>
    <w:p w14:paraId="6BF00023" w14:textId="5D2068F3" w:rsidR="00353AF2" w:rsidRPr="009D5569" w:rsidRDefault="00353AF2" w:rsidP="00DD6A51">
      <w:pPr>
        <w:pStyle w:val="Heading3"/>
        <w:numPr>
          <w:ilvl w:val="1"/>
          <w:numId w:val="29"/>
        </w:numPr>
        <w:tabs>
          <w:tab w:val="left" w:pos="645"/>
        </w:tabs>
        <w:spacing w:line="360" w:lineRule="auto"/>
        <w:ind w:left="1134" w:hanging="992"/>
        <w:jc w:val="both"/>
        <w:rPr>
          <w:sz w:val="26"/>
          <w:szCs w:val="26"/>
        </w:rPr>
      </w:pPr>
      <w:r w:rsidRPr="009D5569">
        <w:rPr>
          <w:sz w:val="26"/>
          <w:szCs w:val="26"/>
        </w:rPr>
        <w:t>Nguyên</w:t>
      </w:r>
      <w:r w:rsidRPr="009D5569">
        <w:rPr>
          <w:spacing w:val="-1"/>
          <w:sz w:val="26"/>
          <w:szCs w:val="26"/>
        </w:rPr>
        <w:t xml:space="preserve"> </w:t>
      </w:r>
      <w:r w:rsidRPr="009D5569">
        <w:rPr>
          <w:sz w:val="26"/>
          <w:szCs w:val="26"/>
        </w:rPr>
        <w:t>phát</w:t>
      </w:r>
    </w:p>
    <w:p w14:paraId="71422703" w14:textId="77777777" w:rsidR="00353AF2" w:rsidRPr="009D5569" w:rsidRDefault="00353AF2" w:rsidP="00DD6A51">
      <w:pPr>
        <w:pStyle w:val="BodyText"/>
        <w:numPr>
          <w:ilvl w:val="0"/>
          <w:numId w:val="28"/>
        </w:numPr>
        <w:spacing w:before="0" w:line="360" w:lineRule="auto"/>
        <w:ind w:left="426" w:right="266"/>
        <w:rPr>
          <w:sz w:val="26"/>
          <w:szCs w:val="26"/>
        </w:rPr>
      </w:pPr>
      <w:r w:rsidRPr="009D5569">
        <w:rPr>
          <w:sz w:val="26"/>
          <w:szCs w:val="26"/>
        </w:rPr>
        <w:t>Chưa rõ nguyên nhân,</w:t>
      </w:r>
      <w:r w:rsidRPr="009C2F94">
        <w:rPr>
          <w:sz w:val="26"/>
          <w:szCs w:val="26"/>
        </w:rPr>
        <w:t xml:space="preserve"> có thể do bẩm sinh, khiếm khuyết về di truyền,</w:t>
      </w:r>
      <w:r w:rsidRPr="009D5569">
        <w:rPr>
          <w:sz w:val="26"/>
          <w:szCs w:val="26"/>
        </w:rPr>
        <w:t xml:space="preserve"> chế độ ăn thực phẩm có chứa nhiều purin như: gan, thận, tôm, cua, lòng đỏ trứng, nấm… được xem là làm nặng thêm bệnh. Gặp 95% ở nam giới, độ tuổi thường gặp là 30-60 tuổi.</w:t>
      </w:r>
    </w:p>
    <w:p w14:paraId="11DF984D" w14:textId="77777777" w:rsidR="00353AF2" w:rsidRPr="009D5569" w:rsidRDefault="00353AF2" w:rsidP="00DD6A51">
      <w:pPr>
        <w:pStyle w:val="Heading3"/>
        <w:numPr>
          <w:ilvl w:val="1"/>
          <w:numId w:val="29"/>
        </w:numPr>
        <w:tabs>
          <w:tab w:val="left" w:pos="645"/>
        </w:tabs>
        <w:spacing w:line="360" w:lineRule="auto"/>
        <w:ind w:left="1134" w:hanging="992"/>
        <w:jc w:val="both"/>
        <w:rPr>
          <w:sz w:val="26"/>
          <w:szCs w:val="26"/>
        </w:rPr>
      </w:pPr>
      <w:r w:rsidRPr="009D5569">
        <w:rPr>
          <w:sz w:val="26"/>
          <w:szCs w:val="26"/>
        </w:rPr>
        <w:t>Thứ</w:t>
      </w:r>
      <w:r w:rsidRPr="0081162B">
        <w:rPr>
          <w:sz w:val="26"/>
          <w:szCs w:val="26"/>
        </w:rPr>
        <w:t xml:space="preserve"> </w:t>
      </w:r>
      <w:r w:rsidRPr="009D5569">
        <w:rPr>
          <w:sz w:val="26"/>
          <w:szCs w:val="26"/>
        </w:rPr>
        <w:t>phát</w:t>
      </w:r>
    </w:p>
    <w:p w14:paraId="2461B697" w14:textId="77777777" w:rsidR="0081162B" w:rsidRDefault="00353AF2" w:rsidP="00DD6A51">
      <w:pPr>
        <w:pStyle w:val="BodyText"/>
        <w:numPr>
          <w:ilvl w:val="0"/>
          <w:numId w:val="28"/>
        </w:numPr>
        <w:spacing w:before="0" w:line="360" w:lineRule="auto"/>
        <w:ind w:left="426" w:right="266"/>
        <w:rPr>
          <w:sz w:val="26"/>
          <w:szCs w:val="26"/>
        </w:rPr>
      </w:pPr>
      <w:r w:rsidRPr="0081162B">
        <w:rPr>
          <w:sz w:val="26"/>
          <w:szCs w:val="26"/>
        </w:rPr>
        <w:t xml:space="preserve">Thường </w:t>
      </w:r>
      <w:r w:rsidRPr="009D5569">
        <w:rPr>
          <w:sz w:val="26"/>
          <w:szCs w:val="26"/>
        </w:rPr>
        <w:t>do tăng sản xuất acid uric hoặc giảm đào thải acid uric hoặc cả hai, cụ thể:</w:t>
      </w:r>
    </w:p>
    <w:p w14:paraId="113BFD62" w14:textId="2C82A528" w:rsidR="00353AF2" w:rsidRPr="0081162B" w:rsidRDefault="00353AF2" w:rsidP="00DD6A51">
      <w:pPr>
        <w:pStyle w:val="BodyText"/>
        <w:numPr>
          <w:ilvl w:val="0"/>
          <w:numId w:val="30"/>
        </w:numPr>
        <w:spacing w:before="0" w:line="360" w:lineRule="auto"/>
        <w:ind w:right="266"/>
        <w:rPr>
          <w:sz w:val="26"/>
          <w:szCs w:val="26"/>
        </w:rPr>
      </w:pPr>
      <w:r w:rsidRPr="0081162B">
        <w:rPr>
          <w:sz w:val="26"/>
          <w:szCs w:val="26"/>
        </w:rPr>
        <w:t xml:space="preserve">Suy thận nói riêng và các bệnh </w:t>
      </w:r>
      <w:r w:rsidRPr="0081162B">
        <w:rPr>
          <w:spacing w:val="2"/>
          <w:sz w:val="26"/>
          <w:szCs w:val="26"/>
        </w:rPr>
        <w:t xml:space="preserve">lý </w:t>
      </w:r>
      <w:r w:rsidRPr="0081162B">
        <w:rPr>
          <w:sz w:val="26"/>
          <w:szCs w:val="26"/>
        </w:rPr>
        <w:t>làm giảm độ thanh lọc acid uric của cầu thận nói</w:t>
      </w:r>
      <w:r w:rsidRPr="0081162B">
        <w:rPr>
          <w:spacing w:val="-1"/>
          <w:sz w:val="26"/>
          <w:szCs w:val="26"/>
        </w:rPr>
        <w:t xml:space="preserve"> </w:t>
      </w:r>
      <w:r w:rsidRPr="0081162B">
        <w:rPr>
          <w:sz w:val="26"/>
          <w:szCs w:val="26"/>
        </w:rPr>
        <w:t>chung.</w:t>
      </w:r>
    </w:p>
    <w:p w14:paraId="457444BC" w14:textId="77777777" w:rsidR="00353AF2" w:rsidRPr="009D5569" w:rsidRDefault="00353AF2" w:rsidP="00DD6A51">
      <w:pPr>
        <w:pStyle w:val="BodyText"/>
        <w:numPr>
          <w:ilvl w:val="0"/>
          <w:numId w:val="30"/>
        </w:numPr>
        <w:spacing w:before="0" w:line="360" w:lineRule="auto"/>
        <w:ind w:right="266"/>
        <w:rPr>
          <w:sz w:val="26"/>
          <w:szCs w:val="26"/>
        </w:rPr>
      </w:pPr>
      <w:r w:rsidRPr="009D5569">
        <w:rPr>
          <w:sz w:val="26"/>
          <w:szCs w:val="26"/>
        </w:rPr>
        <w:t>Các bệnh về máu: bệnh bạch cầu</w:t>
      </w:r>
      <w:r w:rsidRPr="0081162B">
        <w:rPr>
          <w:sz w:val="26"/>
          <w:szCs w:val="26"/>
        </w:rPr>
        <w:t xml:space="preserve"> </w:t>
      </w:r>
      <w:r w:rsidRPr="009D5569">
        <w:rPr>
          <w:sz w:val="26"/>
          <w:szCs w:val="26"/>
        </w:rPr>
        <w:t>cấp.</w:t>
      </w:r>
    </w:p>
    <w:p w14:paraId="187DB99D" w14:textId="77777777" w:rsidR="00353AF2" w:rsidRPr="009D5569" w:rsidRDefault="00353AF2" w:rsidP="00DD6A51">
      <w:pPr>
        <w:pStyle w:val="BodyText"/>
        <w:numPr>
          <w:ilvl w:val="0"/>
          <w:numId w:val="30"/>
        </w:numPr>
        <w:spacing w:before="0" w:line="360" w:lineRule="auto"/>
        <w:ind w:right="266"/>
        <w:rPr>
          <w:sz w:val="26"/>
          <w:szCs w:val="26"/>
        </w:rPr>
      </w:pPr>
      <w:r w:rsidRPr="009D5569">
        <w:rPr>
          <w:sz w:val="26"/>
          <w:szCs w:val="26"/>
        </w:rPr>
        <w:t>Dùng thuốc lợi tiểu như Furosemid, Thiazid,</w:t>
      </w:r>
      <w:r w:rsidRPr="0081162B">
        <w:rPr>
          <w:sz w:val="26"/>
          <w:szCs w:val="26"/>
        </w:rPr>
        <w:t xml:space="preserve"> </w:t>
      </w:r>
      <w:r w:rsidRPr="009D5569">
        <w:rPr>
          <w:sz w:val="26"/>
          <w:szCs w:val="26"/>
        </w:rPr>
        <w:t>Acetazolamid…</w:t>
      </w:r>
    </w:p>
    <w:p w14:paraId="2A46834B" w14:textId="3AAE59A5" w:rsidR="00353AF2" w:rsidRPr="009D5569" w:rsidRDefault="00353AF2" w:rsidP="00DD6A51">
      <w:pPr>
        <w:pStyle w:val="BodyText"/>
        <w:numPr>
          <w:ilvl w:val="0"/>
          <w:numId w:val="30"/>
        </w:numPr>
        <w:spacing w:before="0" w:line="360" w:lineRule="auto"/>
        <w:ind w:right="266"/>
        <w:rPr>
          <w:sz w:val="26"/>
          <w:szCs w:val="26"/>
        </w:rPr>
      </w:pPr>
      <w:r w:rsidRPr="009D5569">
        <w:rPr>
          <w:sz w:val="26"/>
          <w:szCs w:val="26"/>
        </w:rPr>
        <w:t>Sử dụng các thuốc ức chế tế bào để điều trị các bệnh ác tính</w:t>
      </w:r>
      <w:r w:rsidR="0081162B">
        <w:rPr>
          <w:sz w:val="26"/>
          <w:szCs w:val="26"/>
          <w:lang w:val="en-US"/>
        </w:rPr>
        <w:t xml:space="preserve">, </w:t>
      </w:r>
      <w:r w:rsidRPr="009D5569">
        <w:rPr>
          <w:sz w:val="26"/>
          <w:szCs w:val="26"/>
        </w:rPr>
        <w:t>thuốc chống lao</w:t>
      </w:r>
      <w:r w:rsidR="0081162B">
        <w:rPr>
          <w:sz w:val="26"/>
          <w:szCs w:val="26"/>
          <w:lang w:val="en-US"/>
        </w:rPr>
        <w:t xml:space="preserve"> </w:t>
      </w:r>
      <w:r w:rsidRPr="009D5569">
        <w:rPr>
          <w:sz w:val="26"/>
          <w:szCs w:val="26"/>
        </w:rPr>
        <w:t>(ethambutol,</w:t>
      </w:r>
      <w:r w:rsidRPr="0081162B">
        <w:rPr>
          <w:sz w:val="26"/>
          <w:szCs w:val="26"/>
        </w:rPr>
        <w:t xml:space="preserve"> </w:t>
      </w:r>
      <w:r w:rsidRPr="009D5569">
        <w:rPr>
          <w:sz w:val="26"/>
          <w:szCs w:val="26"/>
        </w:rPr>
        <w:t>pyrazinamid)…</w:t>
      </w:r>
    </w:p>
    <w:p w14:paraId="49B97CA7" w14:textId="01D004DE" w:rsidR="00353AF2" w:rsidRPr="00353AF2" w:rsidRDefault="00353AF2" w:rsidP="00DD6A51">
      <w:pPr>
        <w:pStyle w:val="BodyText"/>
        <w:numPr>
          <w:ilvl w:val="0"/>
          <w:numId w:val="28"/>
        </w:numPr>
        <w:spacing w:line="360" w:lineRule="auto"/>
        <w:ind w:left="426" w:right="266"/>
        <w:rPr>
          <w:sz w:val="26"/>
          <w:szCs w:val="26"/>
        </w:rPr>
      </w:pPr>
      <w:r w:rsidRPr="009D5569">
        <w:rPr>
          <w:sz w:val="26"/>
          <w:szCs w:val="26"/>
        </w:rPr>
        <w:t>Các yếu tố nguy cơ của bệnh là tăng huyết áp, béo phì và hội chứng chuyển hóa, tăng insulin máu và sự đề kháng insulin, uống nhiều rượu.</w:t>
      </w:r>
    </w:p>
    <w:p w14:paraId="42713DF4" w14:textId="4F122FC2"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CHẨN ĐOÁN</w:t>
      </w:r>
    </w:p>
    <w:p w14:paraId="2423CA2D" w14:textId="77777777" w:rsidR="0081162B" w:rsidRDefault="00353AF2" w:rsidP="00DD6A51">
      <w:pPr>
        <w:pStyle w:val="Heading3"/>
        <w:numPr>
          <w:ilvl w:val="1"/>
          <w:numId w:val="29"/>
        </w:numPr>
        <w:tabs>
          <w:tab w:val="left" w:pos="645"/>
        </w:tabs>
        <w:spacing w:before="0" w:line="360" w:lineRule="auto"/>
        <w:ind w:left="1134" w:hanging="992"/>
        <w:jc w:val="both"/>
        <w:rPr>
          <w:sz w:val="26"/>
          <w:szCs w:val="26"/>
        </w:rPr>
      </w:pPr>
      <w:r w:rsidRPr="0081162B">
        <w:rPr>
          <w:sz w:val="26"/>
          <w:szCs w:val="26"/>
        </w:rPr>
        <w:t xml:space="preserve">Lâm sàng: Điển hình bệnh trải qua 4 giai đoạn </w:t>
      </w:r>
    </w:p>
    <w:p w14:paraId="7C1BEC4F" w14:textId="77777777" w:rsidR="0081162B" w:rsidRPr="0081162B" w:rsidRDefault="00353AF2" w:rsidP="00DD6A51">
      <w:pPr>
        <w:pStyle w:val="Heading3"/>
        <w:numPr>
          <w:ilvl w:val="0"/>
          <w:numId w:val="8"/>
        </w:numPr>
        <w:tabs>
          <w:tab w:val="left" w:pos="645"/>
        </w:tabs>
        <w:spacing w:before="0" w:line="360" w:lineRule="auto"/>
        <w:jc w:val="both"/>
        <w:rPr>
          <w:b w:val="0"/>
          <w:sz w:val="26"/>
          <w:szCs w:val="26"/>
        </w:rPr>
      </w:pPr>
      <w:r w:rsidRPr="0081162B">
        <w:rPr>
          <w:sz w:val="26"/>
          <w:szCs w:val="26"/>
        </w:rPr>
        <w:t xml:space="preserve">Tăng acid máu không triệu chứng: </w:t>
      </w:r>
    </w:p>
    <w:p w14:paraId="362E42EE" w14:textId="067CC846" w:rsidR="0081162B" w:rsidRPr="0081162B" w:rsidRDefault="00353AF2" w:rsidP="00DD6A51">
      <w:pPr>
        <w:pStyle w:val="BodyText"/>
        <w:numPr>
          <w:ilvl w:val="0"/>
          <w:numId w:val="28"/>
        </w:numPr>
        <w:spacing w:line="360" w:lineRule="auto"/>
        <w:ind w:left="426" w:right="266"/>
        <w:rPr>
          <w:sz w:val="26"/>
          <w:szCs w:val="26"/>
        </w:rPr>
      </w:pPr>
      <w:r w:rsidRPr="0081162B">
        <w:rPr>
          <w:sz w:val="26"/>
          <w:szCs w:val="26"/>
        </w:rPr>
        <w:t>Bệnh nhân chưa bao giờ bị viêm khớp gút, không có sỏi thận urate, không có tophi. Kéo dài từ vài năm đến vài chục năm. Một tỉ lệ nhỏ những người có tăng acid uric máu sẽ xuất hiện bệnh gút.</w:t>
      </w:r>
    </w:p>
    <w:p w14:paraId="77D057BD" w14:textId="76E123FB" w:rsidR="00353AF2" w:rsidRPr="0081162B" w:rsidRDefault="00353AF2" w:rsidP="00DD6A51">
      <w:pPr>
        <w:pStyle w:val="Heading3"/>
        <w:numPr>
          <w:ilvl w:val="0"/>
          <w:numId w:val="8"/>
        </w:numPr>
        <w:tabs>
          <w:tab w:val="left" w:pos="645"/>
        </w:tabs>
        <w:spacing w:before="0" w:line="360" w:lineRule="auto"/>
        <w:jc w:val="both"/>
        <w:rPr>
          <w:b w:val="0"/>
          <w:sz w:val="26"/>
          <w:szCs w:val="26"/>
        </w:rPr>
      </w:pPr>
      <w:r w:rsidRPr="0081162B">
        <w:rPr>
          <w:sz w:val="26"/>
          <w:szCs w:val="26"/>
          <w:lang w:val="en-US"/>
        </w:rPr>
        <w:t>Các c</w:t>
      </w:r>
      <w:r w:rsidRPr="0081162B">
        <w:rPr>
          <w:sz w:val="26"/>
          <w:szCs w:val="26"/>
        </w:rPr>
        <w:t xml:space="preserve">ơn </w:t>
      </w:r>
      <w:r w:rsidRPr="0081162B">
        <w:rPr>
          <w:sz w:val="26"/>
          <w:szCs w:val="26"/>
          <w:lang w:val="en-US"/>
        </w:rPr>
        <w:t xml:space="preserve">viêm khớp </w:t>
      </w:r>
      <w:r w:rsidRPr="0081162B">
        <w:rPr>
          <w:sz w:val="26"/>
          <w:szCs w:val="26"/>
        </w:rPr>
        <w:t>gút cấp</w:t>
      </w:r>
      <w:r w:rsidRPr="0081162B">
        <w:rPr>
          <w:sz w:val="26"/>
          <w:szCs w:val="26"/>
          <w:lang w:val="en-US"/>
        </w:rPr>
        <w:t xml:space="preserve">: </w:t>
      </w:r>
    </w:p>
    <w:p w14:paraId="0EC2D9EF" w14:textId="77777777" w:rsidR="00353AF2" w:rsidRPr="009D5569" w:rsidRDefault="00353AF2" w:rsidP="00DD6A51">
      <w:pPr>
        <w:pStyle w:val="BodyText"/>
        <w:numPr>
          <w:ilvl w:val="0"/>
          <w:numId w:val="28"/>
        </w:numPr>
        <w:spacing w:line="360" w:lineRule="auto"/>
        <w:ind w:left="426" w:right="266"/>
        <w:rPr>
          <w:sz w:val="26"/>
          <w:szCs w:val="26"/>
        </w:rPr>
      </w:pPr>
      <w:r w:rsidRPr="0081162B">
        <w:rPr>
          <w:sz w:val="26"/>
          <w:szCs w:val="26"/>
        </w:rPr>
        <w:t>T</w:t>
      </w:r>
      <w:r w:rsidRPr="009D5569">
        <w:rPr>
          <w:sz w:val="26"/>
          <w:szCs w:val="26"/>
        </w:rPr>
        <w:t>hường xuất hiện ở lứa tuổi 35 - 55, ít khi trước 25 hoặc sau 65 tuổi. Ở nữ ít xảy ra trước tuổi mãn kinh, ở nam mắc ở tuổi càng trẻ thì bệnh càng nặng.</w:t>
      </w:r>
    </w:p>
    <w:p w14:paraId="642F6B6E" w14:textId="77777777" w:rsidR="00353AF2" w:rsidRPr="009D5569" w:rsidRDefault="00353AF2" w:rsidP="00DD6A51">
      <w:pPr>
        <w:pStyle w:val="BodyText"/>
        <w:numPr>
          <w:ilvl w:val="0"/>
          <w:numId w:val="28"/>
        </w:numPr>
        <w:spacing w:line="360" w:lineRule="auto"/>
        <w:ind w:left="426" w:right="266"/>
        <w:rPr>
          <w:sz w:val="26"/>
          <w:szCs w:val="26"/>
        </w:rPr>
      </w:pPr>
      <w:r w:rsidRPr="009D5569">
        <w:rPr>
          <w:sz w:val="26"/>
          <w:szCs w:val="26"/>
        </w:rPr>
        <w:t>Điều kiện thuận lợi: nhiều khi không rõ nhưng có thể xảy ra sau bữa ăn có nhiều thịt (nhất là loại thịt có nhiều purin), rượu, sau xúc cảm mạnh, sau chấn thương kể cả vi chấn thương (đi giày chật), sau nhiễm khuẩn, dùng các thuốc lợi tiểu như thiazid...</w:t>
      </w:r>
    </w:p>
    <w:p w14:paraId="0A39515A" w14:textId="77777777" w:rsidR="00353AF2" w:rsidRPr="0081162B" w:rsidRDefault="00353AF2" w:rsidP="00DD6A51">
      <w:pPr>
        <w:pStyle w:val="BodyText"/>
        <w:numPr>
          <w:ilvl w:val="0"/>
          <w:numId w:val="28"/>
        </w:numPr>
        <w:spacing w:line="360" w:lineRule="auto"/>
        <w:ind w:left="426" w:right="266"/>
        <w:rPr>
          <w:sz w:val="26"/>
          <w:szCs w:val="26"/>
        </w:rPr>
      </w:pPr>
      <w:r w:rsidRPr="0081162B">
        <w:rPr>
          <w:sz w:val="26"/>
          <w:szCs w:val="26"/>
        </w:rPr>
        <w:t xml:space="preserve">Triệu chứng: </w:t>
      </w:r>
    </w:p>
    <w:p w14:paraId="53F29CDF" w14:textId="308DB723" w:rsidR="00353AF2" w:rsidRPr="009D5569" w:rsidRDefault="00353AF2" w:rsidP="00DD6A51">
      <w:pPr>
        <w:pStyle w:val="BodyText"/>
        <w:numPr>
          <w:ilvl w:val="0"/>
          <w:numId w:val="30"/>
        </w:numPr>
        <w:spacing w:before="0" w:line="360" w:lineRule="auto"/>
        <w:ind w:right="266"/>
        <w:rPr>
          <w:sz w:val="26"/>
          <w:szCs w:val="26"/>
        </w:rPr>
      </w:pPr>
      <w:r w:rsidRPr="009D5569">
        <w:rPr>
          <w:sz w:val="26"/>
          <w:szCs w:val="26"/>
        </w:rPr>
        <w:t xml:space="preserve">Xuất hiện đột ngột ban đêm, </w:t>
      </w:r>
      <w:r w:rsidR="0081162B">
        <w:rPr>
          <w:sz w:val="26"/>
          <w:szCs w:val="26"/>
          <w:lang w:val="en-US"/>
        </w:rPr>
        <w:t xml:space="preserve">người </w:t>
      </w:r>
      <w:r w:rsidRPr="009D5569">
        <w:rPr>
          <w:sz w:val="26"/>
          <w:szCs w:val="26"/>
        </w:rPr>
        <w:t xml:space="preserve">bệnh thức dậy vì đau ở khớp, thường là khớp bàn - ngón chân cái (60-70%): khớp sưng to, đỏ, phù nề, căng bóng, nóng, đau dữ dội và ngày càng tăng, va chạm nhẹ cũng rất đau, thay đổi thứ tự: bàn chân, cổ chân, gối, bàn </w:t>
      </w:r>
      <w:r w:rsidRPr="0081162B">
        <w:rPr>
          <w:sz w:val="26"/>
          <w:szCs w:val="26"/>
        </w:rPr>
        <w:t xml:space="preserve">tay, </w:t>
      </w:r>
      <w:r w:rsidRPr="009D5569">
        <w:rPr>
          <w:sz w:val="26"/>
          <w:szCs w:val="26"/>
        </w:rPr>
        <w:t xml:space="preserve">cổ </w:t>
      </w:r>
      <w:r w:rsidRPr="0081162B">
        <w:rPr>
          <w:sz w:val="26"/>
          <w:szCs w:val="26"/>
        </w:rPr>
        <w:t xml:space="preserve">tay, </w:t>
      </w:r>
      <w:r w:rsidRPr="009D5569">
        <w:rPr>
          <w:sz w:val="26"/>
          <w:szCs w:val="26"/>
        </w:rPr>
        <w:t>khuỷu, hiếm thấy ở khớp háng, vai, cột sống.</w:t>
      </w:r>
      <w:r w:rsidRPr="0081162B">
        <w:rPr>
          <w:sz w:val="26"/>
          <w:szCs w:val="26"/>
        </w:rPr>
        <w:t>Trong cơn gút cấp</w:t>
      </w:r>
      <w:r w:rsidRPr="009D5569">
        <w:rPr>
          <w:sz w:val="26"/>
          <w:szCs w:val="26"/>
        </w:rPr>
        <w:t xml:space="preserve"> có thể có sốt vừa hoặc nhẹ</w:t>
      </w:r>
      <w:r w:rsidRPr="0081162B">
        <w:rPr>
          <w:sz w:val="26"/>
          <w:szCs w:val="26"/>
        </w:rPr>
        <w:t>.</w:t>
      </w:r>
      <w:r w:rsidRPr="009D5569">
        <w:rPr>
          <w:sz w:val="26"/>
          <w:szCs w:val="26"/>
        </w:rPr>
        <w:t xml:space="preserve"> Lúc đầu chỉ viêm một khớp sau đó có thể viêm nhiều khớp.</w:t>
      </w:r>
    </w:p>
    <w:p w14:paraId="1D78F32D" w14:textId="77777777" w:rsidR="00353AF2" w:rsidRPr="0081162B" w:rsidRDefault="00353AF2" w:rsidP="00DD6A51">
      <w:pPr>
        <w:pStyle w:val="BodyText"/>
        <w:numPr>
          <w:ilvl w:val="0"/>
          <w:numId w:val="30"/>
        </w:numPr>
        <w:spacing w:before="0" w:line="360" w:lineRule="auto"/>
        <w:ind w:right="266"/>
        <w:rPr>
          <w:sz w:val="26"/>
          <w:szCs w:val="26"/>
        </w:rPr>
      </w:pPr>
      <w:r w:rsidRPr="009D5569">
        <w:rPr>
          <w:sz w:val="26"/>
          <w:szCs w:val="26"/>
        </w:rPr>
        <w:t xml:space="preserve">Các dấu hiệu viêm có thể kéo dài nhiều </w:t>
      </w:r>
      <w:r w:rsidRPr="0081162B">
        <w:rPr>
          <w:sz w:val="26"/>
          <w:szCs w:val="26"/>
        </w:rPr>
        <w:t xml:space="preserve">ngày, </w:t>
      </w:r>
      <w:r w:rsidRPr="009D5569">
        <w:rPr>
          <w:sz w:val="26"/>
          <w:szCs w:val="26"/>
        </w:rPr>
        <w:t>thường từ 5-7 ngày rồi các dấu hiệu viêm giảm dần: đỡ đau, đỡ nề, bớt đỏ. Hết cơn, khớp trở lại hoàn toàn bình</w:t>
      </w:r>
      <w:r w:rsidRPr="0081162B">
        <w:rPr>
          <w:sz w:val="26"/>
          <w:szCs w:val="26"/>
        </w:rPr>
        <w:t xml:space="preserve"> </w:t>
      </w:r>
      <w:r w:rsidRPr="009D5569">
        <w:rPr>
          <w:sz w:val="26"/>
          <w:szCs w:val="26"/>
        </w:rPr>
        <w:t>thường</w:t>
      </w:r>
      <w:r w:rsidRPr="0081162B">
        <w:rPr>
          <w:sz w:val="26"/>
          <w:szCs w:val="26"/>
        </w:rPr>
        <w:t xml:space="preserve"> dù được điều trị hay không.</w:t>
      </w:r>
    </w:p>
    <w:p w14:paraId="30C8EF04" w14:textId="77777777" w:rsidR="008457D3" w:rsidRPr="008457D3" w:rsidRDefault="00353AF2" w:rsidP="00DD6A51">
      <w:pPr>
        <w:pStyle w:val="Heading3"/>
        <w:numPr>
          <w:ilvl w:val="0"/>
          <w:numId w:val="8"/>
        </w:numPr>
        <w:tabs>
          <w:tab w:val="left" w:pos="645"/>
        </w:tabs>
        <w:spacing w:before="0" w:line="360" w:lineRule="auto"/>
        <w:jc w:val="both"/>
        <w:rPr>
          <w:sz w:val="26"/>
          <w:szCs w:val="26"/>
          <w:lang w:val="en-US"/>
        </w:rPr>
      </w:pPr>
      <w:r w:rsidRPr="009D5569">
        <w:rPr>
          <w:sz w:val="26"/>
          <w:szCs w:val="26"/>
          <w:lang w:val="en-US"/>
        </w:rPr>
        <w:t>Giai đoạn giữa các cơn viêm khớp gút cấp:</w:t>
      </w:r>
    </w:p>
    <w:p w14:paraId="4415C8DC" w14:textId="7B6039B3" w:rsidR="00353AF2" w:rsidRPr="008457D3" w:rsidRDefault="00353AF2" w:rsidP="00DD6A51">
      <w:pPr>
        <w:pStyle w:val="BodyText"/>
        <w:numPr>
          <w:ilvl w:val="0"/>
          <w:numId w:val="28"/>
        </w:numPr>
        <w:spacing w:line="360" w:lineRule="auto"/>
        <w:ind w:left="426" w:right="266"/>
        <w:rPr>
          <w:sz w:val="26"/>
          <w:szCs w:val="26"/>
        </w:rPr>
      </w:pPr>
      <w:r w:rsidRPr="008457D3">
        <w:rPr>
          <w:sz w:val="26"/>
          <w:szCs w:val="26"/>
        </w:rPr>
        <w:t xml:space="preserve">Thường không có triệu chứng. </w:t>
      </w:r>
      <w:r w:rsidRPr="009D5569">
        <w:rPr>
          <w:sz w:val="26"/>
          <w:szCs w:val="26"/>
        </w:rPr>
        <w:t xml:space="preserve">Khoảng cách </w:t>
      </w:r>
      <w:r w:rsidRPr="008457D3">
        <w:rPr>
          <w:sz w:val="26"/>
          <w:szCs w:val="26"/>
        </w:rPr>
        <w:t>giữa cơn đầu tiên và cơn tiếp theo có thể từ vài tháng đến vài năm hoặc hàng chục năm.</w:t>
      </w:r>
      <w:r w:rsidR="008457D3">
        <w:rPr>
          <w:sz w:val="26"/>
          <w:szCs w:val="26"/>
          <w:lang w:val="en-US"/>
        </w:rPr>
        <w:t xml:space="preserve"> </w:t>
      </w:r>
      <w:r w:rsidRPr="008457D3">
        <w:rPr>
          <w:sz w:val="26"/>
          <w:szCs w:val="26"/>
        </w:rPr>
        <w:t>Xu</w:t>
      </w:r>
      <w:r w:rsidR="008457D3">
        <w:rPr>
          <w:sz w:val="26"/>
          <w:szCs w:val="26"/>
          <w:lang w:val="en-US"/>
        </w:rPr>
        <w:t xml:space="preserve"> </w:t>
      </w:r>
      <w:r w:rsidRPr="008457D3">
        <w:rPr>
          <w:sz w:val="26"/>
          <w:szCs w:val="26"/>
        </w:rPr>
        <w:t>hướng càng về sau khoảng cách càng ngắn lại, thời gian viêm khớp kéo dài hơn,</w:t>
      </w:r>
      <w:r w:rsidR="008457D3">
        <w:rPr>
          <w:sz w:val="26"/>
          <w:szCs w:val="26"/>
          <w:lang w:val="en-US"/>
        </w:rPr>
        <w:t xml:space="preserve"> </w:t>
      </w:r>
      <w:r w:rsidRPr="008457D3">
        <w:rPr>
          <w:sz w:val="26"/>
          <w:szCs w:val="26"/>
        </w:rPr>
        <w:t>số khớp viêm tăng.</w:t>
      </w:r>
    </w:p>
    <w:p w14:paraId="50CED933" w14:textId="77777777" w:rsidR="008457D3" w:rsidRPr="008457D3" w:rsidRDefault="00353AF2" w:rsidP="00DD6A51">
      <w:pPr>
        <w:pStyle w:val="Heading3"/>
        <w:numPr>
          <w:ilvl w:val="0"/>
          <w:numId w:val="8"/>
        </w:numPr>
        <w:tabs>
          <w:tab w:val="left" w:pos="645"/>
        </w:tabs>
        <w:spacing w:before="0" w:line="360" w:lineRule="auto"/>
        <w:jc w:val="both"/>
        <w:rPr>
          <w:sz w:val="26"/>
          <w:szCs w:val="26"/>
          <w:lang w:val="en-US"/>
        </w:rPr>
      </w:pPr>
      <w:r w:rsidRPr="009D5569">
        <w:rPr>
          <w:sz w:val="26"/>
          <w:szCs w:val="26"/>
          <w:lang w:val="en-US"/>
        </w:rPr>
        <w:lastRenderedPageBreak/>
        <w:t xml:space="preserve">Giai đoạn viêm khớp gút mạn: </w:t>
      </w:r>
    </w:p>
    <w:p w14:paraId="08C213D8" w14:textId="77777777" w:rsidR="008457D3" w:rsidRDefault="00353AF2" w:rsidP="00DD6A51">
      <w:pPr>
        <w:pStyle w:val="BodyText"/>
        <w:numPr>
          <w:ilvl w:val="0"/>
          <w:numId w:val="28"/>
        </w:numPr>
        <w:spacing w:line="360" w:lineRule="auto"/>
        <w:ind w:left="426" w:right="266"/>
        <w:rPr>
          <w:sz w:val="26"/>
          <w:szCs w:val="26"/>
        </w:rPr>
      </w:pPr>
      <w:r w:rsidRPr="008457D3">
        <w:rPr>
          <w:sz w:val="26"/>
          <w:szCs w:val="26"/>
        </w:rPr>
        <w:t>Viêm nhiều khớp mạn tính, có thể đối xứng, biến dạng khớp, teo cơ, cứng khớp, khớp đau liên tục, không thành cơn điển hình, không tự hết. Có thể xuất hiện các hạt, cục tophi ở trên sụn vành tai rồi đến khuỷu tay, ngón chân cái, gót chân, mu bàn chân, gân Achille.</w:t>
      </w:r>
    </w:p>
    <w:p w14:paraId="12C76CA7" w14:textId="1F7C908C" w:rsidR="00353AF2" w:rsidRPr="008457D3" w:rsidRDefault="00353AF2" w:rsidP="00DD6A51">
      <w:pPr>
        <w:pStyle w:val="BodyText"/>
        <w:numPr>
          <w:ilvl w:val="0"/>
          <w:numId w:val="28"/>
        </w:numPr>
        <w:spacing w:line="360" w:lineRule="auto"/>
        <w:ind w:left="426" w:right="266"/>
        <w:rPr>
          <w:sz w:val="26"/>
          <w:szCs w:val="26"/>
        </w:rPr>
      </w:pPr>
      <w:r w:rsidRPr="008457D3">
        <w:rPr>
          <w:sz w:val="26"/>
          <w:szCs w:val="26"/>
        </w:rPr>
        <w:t>Biến chứng: vỡ, loét và nhiễm trùng tophi, thiếu máu mạn, sỏi thận, suy thận mạn,</w:t>
      </w:r>
      <w:r w:rsidR="008457D3" w:rsidRPr="008457D3">
        <w:rPr>
          <w:sz w:val="26"/>
          <w:szCs w:val="26"/>
        </w:rPr>
        <w:t>…</w:t>
      </w:r>
    </w:p>
    <w:p w14:paraId="079FF626" w14:textId="2A222E34" w:rsidR="00353AF2" w:rsidRPr="008457D3" w:rsidRDefault="00353AF2" w:rsidP="00DD6A51">
      <w:pPr>
        <w:pStyle w:val="Heading3"/>
        <w:numPr>
          <w:ilvl w:val="1"/>
          <w:numId w:val="29"/>
        </w:numPr>
        <w:tabs>
          <w:tab w:val="left" w:pos="645"/>
        </w:tabs>
        <w:spacing w:before="0" w:line="360" w:lineRule="auto"/>
        <w:ind w:left="1134" w:hanging="992"/>
        <w:jc w:val="both"/>
        <w:rPr>
          <w:sz w:val="26"/>
          <w:szCs w:val="26"/>
        </w:rPr>
      </w:pPr>
      <w:r w:rsidRPr="008457D3">
        <w:rPr>
          <w:sz w:val="26"/>
          <w:szCs w:val="26"/>
        </w:rPr>
        <w:t xml:space="preserve">Cận lâm sàng </w:t>
      </w:r>
    </w:p>
    <w:p w14:paraId="1EB2BB1E" w14:textId="77777777" w:rsidR="00353AF2" w:rsidRPr="008457D3" w:rsidRDefault="00353AF2" w:rsidP="00DD6A51">
      <w:pPr>
        <w:pStyle w:val="BodyText"/>
        <w:numPr>
          <w:ilvl w:val="0"/>
          <w:numId w:val="28"/>
        </w:numPr>
        <w:spacing w:line="360" w:lineRule="auto"/>
        <w:ind w:left="426" w:right="266"/>
        <w:rPr>
          <w:sz w:val="26"/>
          <w:szCs w:val="26"/>
        </w:rPr>
      </w:pPr>
      <w:r w:rsidRPr="008457D3">
        <w:rPr>
          <w:sz w:val="26"/>
          <w:szCs w:val="26"/>
        </w:rPr>
        <w:t>Có thể tăng bạch cầu máu ngoại biên, VS tăng, CRP bình thường hoặc tăng.</w:t>
      </w:r>
    </w:p>
    <w:p w14:paraId="49C120ED" w14:textId="2EC51EB7" w:rsidR="00353AF2" w:rsidRPr="008457D3" w:rsidRDefault="00353AF2" w:rsidP="00DD6A51">
      <w:pPr>
        <w:pStyle w:val="BodyText"/>
        <w:numPr>
          <w:ilvl w:val="0"/>
          <w:numId w:val="28"/>
        </w:numPr>
        <w:spacing w:line="360" w:lineRule="auto"/>
        <w:ind w:left="426" w:right="266"/>
        <w:rPr>
          <w:sz w:val="26"/>
          <w:szCs w:val="26"/>
        </w:rPr>
      </w:pPr>
      <w:r w:rsidRPr="008457D3">
        <w:rPr>
          <w:sz w:val="26"/>
          <w:szCs w:val="26"/>
        </w:rPr>
        <w:t>Acid uric máu tăng, song acid uric máu có thể bình thường trong cơn gút cấp</w:t>
      </w:r>
      <w:r w:rsidR="008457D3">
        <w:rPr>
          <w:sz w:val="26"/>
          <w:szCs w:val="26"/>
          <w:lang w:val="en-US"/>
        </w:rPr>
        <w:t xml:space="preserve"> </w:t>
      </w:r>
      <w:r w:rsidRPr="008457D3">
        <w:rPr>
          <w:sz w:val="26"/>
          <w:szCs w:val="26"/>
        </w:rPr>
        <w:t>(30-40%)</w:t>
      </w:r>
    </w:p>
    <w:p w14:paraId="1118F253" w14:textId="5B383070" w:rsidR="00353AF2" w:rsidRPr="009D5569" w:rsidRDefault="00353AF2" w:rsidP="00DD6A51">
      <w:pPr>
        <w:pStyle w:val="BodyText"/>
        <w:numPr>
          <w:ilvl w:val="0"/>
          <w:numId w:val="28"/>
        </w:numPr>
        <w:spacing w:line="360" w:lineRule="auto"/>
        <w:ind w:left="426" w:right="266"/>
        <w:rPr>
          <w:sz w:val="26"/>
          <w:szCs w:val="26"/>
        </w:rPr>
      </w:pPr>
      <w:r w:rsidRPr="008457D3">
        <w:rPr>
          <w:sz w:val="26"/>
          <w:szCs w:val="26"/>
        </w:rPr>
        <w:t>Xem xét đ</w:t>
      </w:r>
      <w:r w:rsidRPr="009D5569">
        <w:rPr>
          <w:sz w:val="26"/>
          <w:szCs w:val="26"/>
        </w:rPr>
        <w:t>ịnh lượng acid uric niệu 24 giờ: để xác định tăng bài tiết (</w:t>
      </w:r>
      <w:r w:rsidRPr="008457D3">
        <w:rPr>
          <w:sz w:val="26"/>
          <w:szCs w:val="26"/>
        </w:rPr>
        <w:t>&lt;</w:t>
      </w:r>
      <w:r w:rsidRPr="009D5569">
        <w:rPr>
          <w:sz w:val="26"/>
          <w:szCs w:val="26"/>
        </w:rPr>
        <w:t xml:space="preserve"> </w:t>
      </w:r>
      <w:r w:rsidRPr="008457D3">
        <w:rPr>
          <w:sz w:val="26"/>
          <w:szCs w:val="26"/>
        </w:rPr>
        <w:t>8</w:t>
      </w:r>
      <w:r w:rsidRPr="009D5569">
        <w:rPr>
          <w:sz w:val="26"/>
          <w:szCs w:val="26"/>
        </w:rPr>
        <w:t>00mg/24h</w:t>
      </w:r>
      <w:r w:rsidRPr="008457D3">
        <w:rPr>
          <w:sz w:val="26"/>
          <w:szCs w:val="26"/>
        </w:rPr>
        <w:t xml:space="preserve"> được coi là thấp). </w:t>
      </w:r>
      <w:r w:rsidRPr="009D5569">
        <w:rPr>
          <w:sz w:val="26"/>
          <w:szCs w:val="26"/>
        </w:rPr>
        <w:t>Nếu acid uric niệu tăng dễ gây sỏi thận và không được chỉ định nhóm thuốc tăng đào thải acid</w:t>
      </w:r>
      <w:r w:rsidRPr="008457D3">
        <w:rPr>
          <w:sz w:val="26"/>
          <w:szCs w:val="26"/>
        </w:rPr>
        <w:t xml:space="preserve"> </w:t>
      </w:r>
      <w:r w:rsidRPr="009D5569">
        <w:rPr>
          <w:sz w:val="26"/>
          <w:szCs w:val="26"/>
        </w:rPr>
        <w:t>uric.</w:t>
      </w:r>
    </w:p>
    <w:p w14:paraId="051525E9" w14:textId="77777777" w:rsidR="00353AF2" w:rsidRPr="009D5569" w:rsidRDefault="00353AF2" w:rsidP="00DD6A51">
      <w:pPr>
        <w:pStyle w:val="BodyText"/>
        <w:numPr>
          <w:ilvl w:val="0"/>
          <w:numId w:val="28"/>
        </w:numPr>
        <w:spacing w:line="360" w:lineRule="auto"/>
        <w:ind w:left="426" w:right="266"/>
        <w:rPr>
          <w:sz w:val="26"/>
          <w:szCs w:val="26"/>
        </w:rPr>
      </w:pPr>
      <w:r w:rsidRPr="008457D3">
        <w:rPr>
          <w:sz w:val="26"/>
          <w:szCs w:val="26"/>
        </w:rPr>
        <w:t xml:space="preserve">Xét nghiệm </w:t>
      </w:r>
      <w:r w:rsidRPr="009D5569">
        <w:rPr>
          <w:sz w:val="26"/>
          <w:szCs w:val="26"/>
        </w:rPr>
        <w:t>dịch</w:t>
      </w:r>
      <w:r w:rsidRPr="008457D3">
        <w:rPr>
          <w:sz w:val="26"/>
          <w:szCs w:val="26"/>
        </w:rPr>
        <w:t xml:space="preserve"> </w:t>
      </w:r>
      <w:r w:rsidRPr="009D5569">
        <w:rPr>
          <w:sz w:val="26"/>
          <w:szCs w:val="26"/>
        </w:rPr>
        <w:t>khớp:</w:t>
      </w:r>
      <w:r w:rsidRPr="008457D3">
        <w:rPr>
          <w:sz w:val="26"/>
          <w:szCs w:val="26"/>
        </w:rPr>
        <w:t xml:space="preserve"> </w:t>
      </w:r>
      <w:r w:rsidRPr="009D5569">
        <w:rPr>
          <w:sz w:val="26"/>
          <w:szCs w:val="26"/>
        </w:rPr>
        <w:t>quan</w:t>
      </w:r>
      <w:r w:rsidRPr="008457D3">
        <w:rPr>
          <w:sz w:val="26"/>
          <w:szCs w:val="26"/>
        </w:rPr>
        <w:t xml:space="preserve"> </w:t>
      </w:r>
      <w:r w:rsidRPr="009D5569">
        <w:rPr>
          <w:sz w:val="26"/>
          <w:szCs w:val="26"/>
        </w:rPr>
        <w:t>trọng</w:t>
      </w:r>
      <w:r w:rsidRPr="008457D3">
        <w:rPr>
          <w:sz w:val="26"/>
          <w:szCs w:val="26"/>
        </w:rPr>
        <w:t xml:space="preserve"> </w:t>
      </w:r>
      <w:r w:rsidRPr="009D5569">
        <w:rPr>
          <w:sz w:val="26"/>
          <w:szCs w:val="26"/>
        </w:rPr>
        <w:t>nhất</w:t>
      </w:r>
      <w:r w:rsidRPr="008457D3">
        <w:rPr>
          <w:sz w:val="26"/>
          <w:szCs w:val="26"/>
        </w:rPr>
        <w:t xml:space="preserve"> </w:t>
      </w:r>
      <w:r w:rsidRPr="009D5569">
        <w:rPr>
          <w:sz w:val="26"/>
          <w:szCs w:val="26"/>
        </w:rPr>
        <w:t>là</w:t>
      </w:r>
      <w:r w:rsidRPr="008457D3">
        <w:rPr>
          <w:sz w:val="26"/>
          <w:szCs w:val="26"/>
        </w:rPr>
        <w:t xml:space="preserve"> </w:t>
      </w:r>
      <w:r w:rsidRPr="009D5569">
        <w:rPr>
          <w:sz w:val="26"/>
          <w:szCs w:val="26"/>
        </w:rPr>
        <w:t>tìm</w:t>
      </w:r>
      <w:r w:rsidRPr="008457D3">
        <w:rPr>
          <w:sz w:val="26"/>
          <w:szCs w:val="26"/>
        </w:rPr>
        <w:t xml:space="preserve"> </w:t>
      </w:r>
      <w:r w:rsidRPr="009D5569">
        <w:rPr>
          <w:sz w:val="26"/>
          <w:szCs w:val="26"/>
        </w:rPr>
        <w:t>thấy</w:t>
      </w:r>
      <w:r w:rsidRPr="008457D3">
        <w:rPr>
          <w:sz w:val="26"/>
          <w:szCs w:val="26"/>
        </w:rPr>
        <w:t xml:space="preserve"> </w:t>
      </w:r>
      <w:r w:rsidRPr="009D5569">
        <w:rPr>
          <w:sz w:val="26"/>
          <w:szCs w:val="26"/>
        </w:rPr>
        <w:t>tinh</w:t>
      </w:r>
      <w:r w:rsidRPr="008457D3">
        <w:rPr>
          <w:sz w:val="26"/>
          <w:szCs w:val="26"/>
        </w:rPr>
        <w:t xml:space="preserve"> </w:t>
      </w:r>
      <w:r w:rsidRPr="009D5569">
        <w:rPr>
          <w:sz w:val="26"/>
          <w:szCs w:val="26"/>
        </w:rPr>
        <w:t>thể</w:t>
      </w:r>
      <w:r w:rsidRPr="008457D3">
        <w:rPr>
          <w:sz w:val="26"/>
          <w:szCs w:val="26"/>
        </w:rPr>
        <w:t xml:space="preserve"> </w:t>
      </w:r>
      <w:r w:rsidRPr="009D5569">
        <w:rPr>
          <w:sz w:val="26"/>
          <w:szCs w:val="26"/>
        </w:rPr>
        <w:t>urat</w:t>
      </w:r>
      <w:r w:rsidRPr="008457D3">
        <w:rPr>
          <w:sz w:val="26"/>
          <w:szCs w:val="26"/>
        </w:rPr>
        <w:t xml:space="preserve"> </w:t>
      </w:r>
      <w:r w:rsidRPr="009D5569">
        <w:rPr>
          <w:sz w:val="26"/>
          <w:szCs w:val="26"/>
        </w:rPr>
        <w:t>trong</w:t>
      </w:r>
      <w:r w:rsidRPr="008457D3">
        <w:rPr>
          <w:sz w:val="26"/>
          <w:szCs w:val="26"/>
        </w:rPr>
        <w:t xml:space="preserve"> </w:t>
      </w:r>
      <w:r w:rsidRPr="009D5569">
        <w:rPr>
          <w:sz w:val="26"/>
          <w:szCs w:val="26"/>
        </w:rPr>
        <w:t>dịch</w:t>
      </w:r>
      <w:r w:rsidRPr="008457D3">
        <w:rPr>
          <w:sz w:val="26"/>
          <w:szCs w:val="26"/>
        </w:rPr>
        <w:t xml:space="preserve"> </w:t>
      </w:r>
      <w:r w:rsidRPr="009D5569">
        <w:rPr>
          <w:sz w:val="26"/>
          <w:szCs w:val="26"/>
        </w:rPr>
        <w:t xml:space="preserve">khớp. </w:t>
      </w:r>
      <w:r w:rsidRPr="008457D3">
        <w:rPr>
          <w:sz w:val="26"/>
          <w:szCs w:val="26"/>
        </w:rPr>
        <w:t xml:space="preserve">Dịch </w:t>
      </w:r>
      <w:r w:rsidRPr="009D5569">
        <w:rPr>
          <w:sz w:val="26"/>
          <w:szCs w:val="26"/>
        </w:rPr>
        <w:t>khớp</w:t>
      </w:r>
      <w:r w:rsidRPr="008457D3">
        <w:rPr>
          <w:sz w:val="26"/>
          <w:szCs w:val="26"/>
        </w:rPr>
        <w:t xml:space="preserve"> </w:t>
      </w:r>
      <w:r w:rsidRPr="009D5569">
        <w:rPr>
          <w:sz w:val="26"/>
          <w:szCs w:val="26"/>
        </w:rPr>
        <w:t>viêm</w:t>
      </w:r>
      <w:r w:rsidRPr="008457D3">
        <w:rPr>
          <w:sz w:val="26"/>
          <w:szCs w:val="26"/>
        </w:rPr>
        <w:t xml:space="preserve"> </w:t>
      </w:r>
      <w:r w:rsidRPr="009D5569">
        <w:rPr>
          <w:sz w:val="26"/>
          <w:szCs w:val="26"/>
        </w:rPr>
        <w:t>giàu</w:t>
      </w:r>
      <w:r w:rsidRPr="008457D3">
        <w:rPr>
          <w:sz w:val="26"/>
          <w:szCs w:val="26"/>
        </w:rPr>
        <w:t xml:space="preserve"> </w:t>
      </w:r>
      <w:r w:rsidRPr="009D5569">
        <w:rPr>
          <w:sz w:val="26"/>
          <w:szCs w:val="26"/>
        </w:rPr>
        <w:t>tế</w:t>
      </w:r>
      <w:r w:rsidRPr="008457D3">
        <w:rPr>
          <w:sz w:val="26"/>
          <w:szCs w:val="26"/>
        </w:rPr>
        <w:t xml:space="preserve"> </w:t>
      </w:r>
      <w:r w:rsidRPr="009D5569">
        <w:rPr>
          <w:sz w:val="26"/>
          <w:szCs w:val="26"/>
        </w:rPr>
        <w:t>bào</w:t>
      </w:r>
      <w:r w:rsidRPr="008457D3">
        <w:rPr>
          <w:sz w:val="26"/>
          <w:szCs w:val="26"/>
        </w:rPr>
        <w:t xml:space="preserve"> </w:t>
      </w:r>
      <w:r w:rsidRPr="009D5569">
        <w:rPr>
          <w:sz w:val="26"/>
          <w:szCs w:val="26"/>
        </w:rPr>
        <w:t>(&gt;</w:t>
      </w:r>
      <w:r w:rsidRPr="008457D3">
        <w:rPr>
          <w:sz w:val="26"/>
          <w:szCs w:val="26"/>
        </w:rPr>
        <w:t xml:space="preserve"> </w:t>
      </w:r>
      <w:r w:rsidRPr="009D5569">
        <w:rPr>
          <w:sz w:val="26"/>
          <w:szCs w:val="26"/>
        </w:rPr>
        <w:t>2000</w:t>
      </w:r>
      <w:r w:rsidRPr="008457D3">
        <w:rPr>
          <w:sz w:val="26"/>
          <w:szCs w:val="26"/>
        </w:rPr>
        <w:t xml:space="preserve"> tb/mm3), chủ </w:t>
      </w:r>
      <w:r w:rsidRPr="009D5569">
        <w:rPr>
          <w:sz w:val="26"/>
          <w:szCs w:val="26"/>
        </w:rPr>
        <w:t>yếu</w:t>
      </w:r>
      <w:r w:rsidRPr="008457D3">
        <w:rPr>
          <w:sz w:val="26"/>
          <w:szCs w:val="26"/>
        </w:rPr>
        <w:t xml:space="preserve"> </w:t>
      </w:r>
      <w:r w:rsidRPr="009D5569">
        <w:rPr>
          <w:sz w:val="26"/>
          <w:szCs w:val="26"/>
        </w:rPr>
        <w:t>là</w:t>
      </w:r>
      <w:r w:rsidRPr="008457D3">
        <w:rPr>
          <w:sz w:val="26"/>
          <w:szCs w:val="26"/>
        </w:rPr>
        <w:t xml:space="preserve"> </w:t>
      </w:r>
      <w:r w:rsidRPr="009D5569">
        <w:rPr>
          <w:sz w:val="26"/>
          <w:szCs w:val="26"/>
        </w:rPr>
        <w:t>bạch</w:t>
      </w:r>
      <w:r w:rsidRPr="008457D3">
        <w:rPr>
          <w:sz w:val="26"/>
          <w:szCs w:val="26"/>
        </w:rPr>
        <w:t xml:space="preserve"> </w:t>
      </w:r>
      <w:r w:rsidRPr="009D5569">
        <w:rPr>
          <w:sz w:val="26"/>
          <w:szCs w:val="26"/>
        </w:rPr>
        <w:t>cầu</w:t>
      </w:r>
      <w:r w:rsidRPr="008457D3">
        <w:rPr>
          <w:sz w:val="26"/>
          <w:szCs w:val="26"/>
        </w:rPr>
        <w:t xml:space="preserve"> </w:t>
      </w:r>
      <w:r w:rsidRPr="009D5569">
        <w:rPr>
          <w:sz w:val="26"/>
          <w:szCs w:val="26"/>
        </w:rPr>
        <w:t>đa</w:t>
      </w:r>
      <w:r w:rsidRPr="008457D3">
        <w:rPr>
          <w:sz w:val="26"/>
          <w:szCs w:val="26"/>
        </w:rPr>
        <w:t xml:space="preserve"> </w:t>
      </w:r>
      <w:r w:rsidRPr="009D5569">
        <w:rPr>
          <w:sz w:val="26"/>
          <w:szCs w:val="26"/>
        </w:rPr>
        <w:t>nhân</w:t>
      </w:r>
      <w:r w:rsidRPr="008457D3">
        <w:rPr>
          <w:sz w:val="26"/>
          <w:szCs w:val="26"/>
        </w:rPr>
        <w:t xml:space="preserve"> </w:t>
      </w:r>
      <w:r w:rsidRPr="009D5569">
        <w:rPr>
          <w:sz w:val="26"/>
          <w:szCs w:val="26"/>
        </w:rPr>
        <w:t>trung</w:t>
      </w:r>
      <w:r w:rsidRPr="008457D3">
        <w:rPr>
          <w:sz w:val="26"/>
          <w:szCs w:val="26"/>
        </w:rPr>
        <w:t xml:space="preserve"> </w:t>
      </w:r>
      <w:r w:rsidRPr="009D5569">
        <w:rPr>
          <w:sz w:val="26"/>
          <w:szCs w:val="26"/>
        </w:rPr>
        <w:t>tính.</w:t>
      </w:r>
    </w:p>
    <w:p w14:paraId="175C0143" w14:textId="77777777" w:rsidR="00353AF2" w:rsidRPr="009D5569" w:rsidRDefault="00353AF2" w:rsidP="00DD6A51">
      <w:pPr>
        <w:pStyle w:val="BodyText"/>
        <w:numPr>
          <w:ilvl w:val="0"/>
          <w:numId w:val="28"/>
        </w:numPr>
        <w:spacing w:line="360" w:lineRule="auto"/>
        <w:ind w:left="426" w:right="266"/>
        <w:rPr>
          <w:sz w:val="26"/>
          <w:szCs w:val="26"/>
        </w:rPr>
      </w:pPr>
      <w:r w:rsidRPr="008457D3">
        <w:rPr>
          <w:sz w:val="26"/>
          <w:szCs w:val="26"/>
        </w:rPr>
        <w:t>Soi tươi dưới kính hiển vi phân cực tìm tinh thể uratetrong dịch khớp hoặc từ tổn thương nghi tophi.</w:t>
      </w:r>
    </w:p>
    <w:p w14:paraId="3FA921DC" w14:textId="15A7305A" w:rsidR="00353AF2" w:rsidRPr="009D5569" w:rsidRDefault="00353AF2" w:rsidP="00DD6A51">
      <w:pPr>
        <w:pStyle w:val="BodyText"/>
        <w:numPr>
          <w:ilvl w:val="0"/>
          <w:numId w:val="28"/>
        </w:numPr>
        <w:spacing w:line="360" w:lineRule="auto"/>
        <w:ind w:left="426" w:right="266"/>
        <w:rPr>
          <w:sz w:val="26"/>
          <w:szCs w:val="26"/>
        </w:rPr>
      </w:pPr>
      <w:r w:rsidRPr="009D5569">
        <w:rPr>
          <w:sz w:val="26"/>
          <w:szCs w:val="26"/>
        </w:rPr>
        <w:t>X</w:t>
      </w:r>
      <w:r w:rsidR="008457D3">
        <w:rPr>
          <w:sz w:val="26"/>
          <w:szCs w:val="26"/>
          <w:lang w:val="en-US"/>
        </w:rPr>
        <w:t>-</w:t>
      </w:r>
      <w:r w:rsidRPr="009D5569">
        <w:rPr>
          <w:sz w:val="26"/>
          <w:szCs w:val="26"/>
        </w:rPr>
        <w:t xml:space="preserve">quang khớp: giai đoạn </w:t>
      </w:r>
      <w:r w:rsidRPr="008457D3">
        <w:rPr>
          <w:sz w:val="26"/>
          <w:szCs w:val="26"/>
        </w:rPr>
        <w:t>sớm thấy sưng nề</w:t>
      </w:r>
      <w:r w:rsidRPr="009D5569">
        <w:rPr>
          <w:sz w:val="26"/>
          <w:szCs w:val="26"/>
        </w:rPr>
        <w:t xml:space="preserve">, nếu muộn có thể thấy các </w:t>
      </w:r>
      <w:r w:rsidRPr="008457D3">
        <w:rPr>
          <w:sz w:val="26"/>
          <w:szCs w:val="26"/>
        </w:rPr>
        <w:t>hủy xương, biến dạng khớp.</w:t>
      </w:r>
    </w:p>
    <w:p w14:paraId="3F30C9B2" w14:textId="452F67E2" w:rsidR="00353AF2" w:rsidRPr="00101DBA" w:rsidRDefault="00353AF2" w:rsidP="00DD6A51">
      <w:pPr>
        <w:pStyle w:val="BodyText"/>
        <w:numPr>
          <w:ilvl w:val="0"/>
          <w:numId w:val="28"/>
        </w:numPr>
        <w:spacing w:line="360" w:lineRule="auto"/>
        <w:ind w:left="426" w:right="266"/>
        <w:rPr>
          <w:sz w:val="26"/>
          <w:szCs w:val="26"/>
        </w:rPr>
      </w:pPr>
      <w:r w:rsidRPr="008457D3">
        <w:rPr>
          <w:sz w:val="26"/>
          <w:szCs w:val="26"/>
        </w:rPr>
        <w:t>Siêu âm khớp, CT-scan năng lượng kép</w:t>
      </w:r>
      <w:r w:rsidR="008457D3">
        <w:rPr>
          <w:sz w:val="26"/>
          <w:szCs w:val="26"/>
          <w:lang w:val="en-US"/>
        </w:rPr>
        <w:t xml:space="preserve"> </w:t>
      </w:r>
      <w:r w:rsidRPr="008457D3">
        <w:rPr>
          <w:sz w:val="26"/>
          <w:szCs w:val="26"/>
        </w:rPr>
        <w:t>(DECT) có thể giúp đánh giá sự lắng đọng của tinh thể urate trong khớp.</w:t>
      </w:r>
    </w:p>
    <w:p w14:paraId="6C8C934B" w14:textId="77777777" w:rsidR="008457D3" w:rsidRDefault="00353AF2" w:rsidP="00DD6A51">
      <w:pPr>
        <w:pStyle w:val="Heading3"/>
        <w:numPr>
          <w:ilvl w:val="1"/>
          <w:numId w:val="29"/>
        </w:numPr>
        <w:tabs>
          <w:tab w:val="left" w:pos="645"/>
        </w:tabs>
        <w:spacing w:before="0" w:line="360" w:lineRule="auto"/>
        <w:ind w:left="1134" w:hanging="992"/>
        <w:jc w:val="both"/>
        <w:rPr>
          <w:sz w:val="26"/>
          <w:szCs w:val="26"/>
        </w:rPr>
      </w:pPr>
      <w:r w:rsidRPr="008457D3">
        <w:rPr>
          <w:sz w:val="26"/>
          <w:szCs w:val="26"/>
        </w:rPr>
        <w:t>Chẩn đoán xác định</w:t>
      </w:r>
    </w:p>
    <w:p w14:paraId="609F3805" w14:textId="6265CAA0" w:rsidR="00BD4127" w:rsidRDefault="00BD4127" w:rsidP="00DD6A51">
      <w:pPr>
        <w:pStyle w:val="BodyText"/>
        <w:numPr>
          <w:ilvl w:val="0"/>
          <w:numId w:val="28"/>
        </w:numPr>
        <w:spacing w:before="0" w:line="360" w:lineRule="auto"/>
        <w:ind w:left="426" w:right="266"/>
        <w:rPr>
          <w:sz w:val="26"/>
          <w:szCs w:val="26"/>
        </w:rPr>
      </w:pPr>
      <w:r w:rsidRPr="00D5611B">
        <w:rPr>
          <w:sz w:val="26"/>
          <w:szCs w:val="26"/>
        </w:rPr>
        <w:t>C</w:t>
      </w:r>
      <w:r w:rsidR="00353AF2" w:rsidRPr="009D5569">
        <w:rPr>
          <w:sz w:val="26"/>
          <w:szCs w:val="26"/>
        </w:rPr>
        <w:t>ó thể áp dụng một trong các tiêu chuẩn</w:t>
      </w:r>
      <w:r w:rsidR="00353AF2" w:rsidRPr="008457D3">
        <w:rPr>
          <w:sz w:val="26"/>
          <w:szCs w:val="26"/>
        </w:rPr>
        <w:t xml:space="preserve"> </w:t>
      </w:r>
      <w:r w:rsidR="00353AF2" w:rsidRPr="009D5569">
        <w:rPr>
          <w:sz w:val="26"/>
          <w:szCs w:val="26"/>
        </w:rPr>
        <w:t>sau</w:t>
      </w:r>
    </w:p>
    <w:p w14:paraId="6CDC5F03" w14:textId="1E7D981E" w:rsidR="00353AF2" w:rsidRPr="00BD4127" w:rsidRDefault="00353AF2" w:rsidP="00DD6A51">
      <w:pPr>
        <w:pStyle w:val="Heading3"/>
        <w:numPr>
          <w:ilvl w:val="0"/>
          <w:numId w:val="33"/>
        </w:numPr>
        <w:tabs>
          <w:tab w:val="left" w:pos="645"/>
        </w:tabs>
        <w:spacing w:before="0" w:line="360" w:lineRule="auto"/>
        <w:ind w:left="709"/>
        <w:jc w:val="both"/>
        <w:rPr>
          <w:sz w:val="26"/>
          <w:szCs w:val="26"/>
          <w:lang w:val="en-US"/>
        </w:rPr>
      </w:pPr>
      <w:r w:rsidRPr="00BD4127">
        <w:rPr>
          <w:sz w:val="26"/>
          <w:szCs w:val="26"/>
          <w:lang w:val="en-US"/>
        </w:rPr>
        <w:t>Tiêu chuẩn của ILAR và Omeract năm 2000: Độ nhạy 70%, đặc hiệu 78,8%.</w:t>
      </w:r>
    </w:p>
    <w:p w14:paraId="5D35D5B2" w14:textId="36F0160B" w:rsidR="00353AF2" w:rsidRPr="009D5569" w:rsidRDefault="00353AF2" w:rsidP="00DD6A51">
      <w:pPr>
        <w:pStyle w:val="BodyText"/>
        <w:numPr>
          <w:ilvl w:val="0"/>
          <w:numId w:val="28"/>
        </w:numPr>
        <w:spacing w:line="360" w:lineRule="auto"/>
        <w:ind w:left="426" w:right="266"/>
        <w:rPr>
          <w:sz w:val="26"/>
          <w:szCs w:val="26"/>
        </w:rPr>
      </w:pPr>
      <w:r w:rsidRPr="009D5569">
        <w:rPr>
          <w:sz w:val="26"/>
          <w:szCs w:val="26"/>
        </w:rPr>
        <w:t>Có tinh thể urat đặc trưng trong dịch khớp,</w:t>
      </w:r>
      <w:r w:rsidR="00D5611B">
        <w:rPr>
          <w:sz w:val="26"/>
          <w:szCs w:val="26"/>
          <w:lang w:val="en-US"/>
        </w:rPr>
        <w:t xml:space="preserve"> </w:t>
      </w:r>
      <w:r w:rsidRPr="009D5569">
        <w:rPr>
          <w:sz w:val="26"/>
          <w:szCs w:val="26"/>
        </w:rPr>
        <w:t>và/hoặc:</w:t>
      </w:r>
    </w:p>
    <w:p w14:paraId="33575E53" w14:textId="02CD5212" w:rsidR="00353AF2" w:rsidRPr="00D5611B" w:rsidRDefault="00353AF2" w:rsidP="00DD6A51">
      <w:pPr>
        <w:pStyle w:val="BodyText"/>
        <w:numPr>
          <w:ilvl w:val="0"/>
          <w:numId w:val="28"/>
        </w:numPr>
        <w:spacing w:line="360" w:lineRule="auto"/>
        <w:ind w:left="426" w:right="266"/>
        <w:rPr>
          <w:sz w:val="26"/>
          <w:szCs w:val="26"/>
        </w:rPr>
      </w:pPr>
      <w:r w:rsidRPr="009D5569">
        <w:rPr>
          <w:sz w:val="26"/>
          <w:szCs w:val="26"/>
        </w:rPr>
        <w:t xml:space="preserve">Hạt tôphi được chứng minh có chứa tinh thể urat bằng phương pháp hóa học </w:t>
      </w:r>
      <w:r w:rsidRPr="009D5569">
        <w:rPr>
          <w:sz w:val="26"/>
          <w:szCs w:val="26"/>
        </w:rPr>
        <w:lastRenderedPageBreak/>
        <w:t>hoặc kính hiển vi phân cực, và /</w:t>
      </w:r>
      <w:r w:rsidRPr="00D5611B">
        <w:rPr>
          <w:sz w:val="26"/>
          <w:szCs w:val="26"/>
        </w:rPr>
        <w:t xml:space="preserve"> </w:t>
      </w:r>
      <w:r w:rsidRPr="009D5569">
        <w:rPr>
          <w:sz w:val="26"/>
          <w:szCs w:val="26"/>
        </w:rPr>
        <w:t>hoặc</w:t>
      </w:r>
      <w:r w:rsidR="00D5611B">
        <w:rPr>
          <w:sz w:val="26"/>
          <w:szCs w:val="26"/>
          <w:lang w:val="en-US"/>
        </w:rPr>
        <w:t xml:space="preserve"> c</w:t>
      </w:r>
      <w:r w:rsidRPr="00D5611B">
        <w:rPr>
          <w:sz w:val="26"/>
          <w:szCs w:val="26"/>
        </w:rPr>
        <w:t>ó 6 trong số 12 biểu hiện lâm sàng, xét nghiệm và Xquang sau</w:t>
      </w:r>
      <w:r w:rsidR="001A6B73">
        <w:rPr>
          <w:sz w:val="26"/>
          <w:szCs w:val="26"/>
          <w:lang w:val="en-US"/>
        </w:rPr>
        <w:t xml:space="preserve"> đây</w:t>
      </w:r>
      <w:r w:rsidRPr="00D5611B">
        <w:rPr>
          <w:sz w:val="26"/>
          <w:szCs w:val="26"/>
        </w:rPr>
        <w:t>:</w:t>
      </w:r>
    </w:p>
    <w:p w14:paraId="39CA5B03" w14:textId="77777777" w:rsidR="00353AF2" w:rsidRPr="009D5569" w:rsidRDefault="00353AF2" w:rsidP="00DD6A51">
      <w:pPr>
        <w:pStyle w:val="ListParagraph"/>
        <w:widowControl w:val="0"/>
        <w:numPr>
          <w:ilvl w:val="1"/>
          <w:numId w:val="7"/>
        </w:numPr>
        <w:tabs>
          <w:tab w:val="left" w:pos="851"/>
        </w:tabs>
        <w:autoSpaceDE w:val="0"/>
        <w:autoSpaceDN w:val="0"/>
        <w:spacing w:after="0" w:line="360" w:lineRule="auto"/>
        <w:ind w:left="993" w:hanging="241"/>
        <w:contextualSpacing w:val="0"/>
        <w:jc w:val="both"/>
        <w:rPr>
          <w:rFonts w:cs="Times New Roman"/>
          <w:sz w:val="26"/>
          <w:szCs w:val="26"/>
        </w:rPr>
      </w:pPr>
      <w:r w:rsidRPr="009D5569">
        <w:rPr>
          <w:rFonts w:cs="Times New Roman"/>
          <w:sz w:val="26"/>
          <w:szCs w:val="26"/>
        </w:rPr>
        <w:t>Viêm tiến triển tối đa trong vòng một</w:t>
      </w:r>
      <w:r w:rsidRPr="009D5569">
        <w:rPr>
          <w:rFonts w:cs="Times New Roman"/>
          <w:spacing w:val="-8"/>
          <w:sz w:val="26"/>
          <w:szCs w:val="26"/>
        </w:rPr>
        <w:t xml:space="preserve"> </w:t>
      </w:r>
      <w:r w:rsidRPr="009D5569">
        <w:rPr>
          <w:rFonts w:cs="Times New Roman"/>
          <w:sz w:val="26"/>
          <w:szCs w:val="26"/>
        </w:rPr>
        <w:t>ngày.</w:t>
      </w:r>
    </w:p>
    <w:p w14:paraId="23125929" w14:textId="77777777" w:rsidR="00353AF2" w:rsidRPr="009D5569" w:rsidRDefault="00353AF2" w:rsidP="00DD6A51">
      <w:pPr>
        <w:pStyle w:val="ListParagraph"/>
        <w:widowControl w:val="0"/>
        <w:numPr>
          <w:ilvl w:val="1"/>
          <w:numId w:val="7"/>
        </w:numPr>
        <w:tabs>
          <w:tab w:val="left" w:pos="851"/>
        </w:tabs>
        <w:autoSpaceDE w:val="0"/>
        <w:autoSpaceDN w:val="0"/>
        <w:spacing w:after="0" w:line="360" w:lineRule="auto"/>
        <w:ind w:left="993" w:hanging="241"/>
        <w:contextualSpacing w:val="0"/>
        <w:jc w:val="both"/>
        <w:rPr>
          <w:rFonts w:cs="Times New Roman"/>
          <w:sz w:val="26"/>
          <w:szCs w:val="26"/>
        </w:rPr>
      </w:pPr>
      <w:r w:rsidRPr="009D5569">
        <w:rPr>
          <w:rFonts w:cs="Times New Roman"/>
          <w:sz w:val="26"/>
          <w:szCs w:val="26"/>
        </w:rPr>
        <w:t>Có hơn một cơn viêm khớp</w:t>
      </w:r>
      <w:r w:rsidRPr="009D5569">
        <w:rPr>
          <w:rFonts w:cs="Times New Roman"/>
          <w:spacing w:val="-3"/>
          <w:sz w:val="26"/>
          <w:szCs w:val="26"/>
        </w:rPr>
        <w:t xml:space="preserve"> </w:t>
      </w:r>
      <w:r w:rsidRPr="009D5569">
        <w:rPr>
          <w:rFonts w:cs="Times New Roman"/>
          <w:sz w:val="26"/>
          <w:szCs w:val="26"/>
        </w:rPr>
        <w:t>cấp.</w:t>
      </w:r>
    </w:p>
    <w:p w14:paraId="11F32FEC" w14:textId="77777777" w:rsidR="00353AF2" w:rsidRPr="009D5569" w:rsidRDefault="00353AF2" w:rsidP="00DD6A51">
      <w:pPr>
        <w:pStyle w:val="ListParagraph"/>
        <w:widowControl w:val="0"/>
        <w:numPr>
          <w:ilvl w:val="1"/>
          <w:numId w:val="7"/>
        </w:numPr>
        <w:tabs>
          <w:tab w:val="left" w:pos="851"/>
        </w:tabs>
        <w:autoSpaceDE w:val="0"/>
        <w:autoSpaceDN w:val="0"/>
        <w:spacing w:after="0" w:line="360" w:lineRule="auto"/>
        <w:ind w:left="993" w:hanging="241"/>
        <w:contextualSpacing w:val="0"/>
        <w:jc w:val="both"/>
        <w:rPr>
          <w:rFonts w:cs="Times New Roman"/>
          <w:sz w:val="26"/>
          <w:szCs w:val="26"/>
        </w:rPr>
      </w:pPr>
      <w:r w:rsidRPr="009D5569">
        <w:rPr>
          <w:rFonts w:cs="Times New Roman"/>
          <w:sz w:val="26"/>
          <w:szCs w:val="26"/>
        </w:rPr>
        <w:t>Viêm khớp ở một</w:t>
      </w:r>
      <w:r w:rsidRPr="009D5569">
        <w:rPr>
          <w:rFonts w:cs="Times New Roman"/>
          <w:spacing w:val="-1"/>
          <w:sz w:val="26"/>
          <w:szCs w:val="26"/>
        </w:rPr>
        <w:t xml:space="preserve"> </w:t>
      </w:r>
      <w:r w:rsidRPr="009D5569">
        <w:rPr>
          <w:rFonts w:cs="Times New Roman"/>
          <w:sz w:val="26"/>
          <w:szCs w:val="26"/>
        </w:rPr>
        <w:t>khớp.</w:t>
      </w:r>
    </w:p>
    <w:p w14:paraId="398222CA" w14:textId="77777777" w:rsidR="00353AF2" w:rsidRPr="009D5569" w:rsidRDefault="00353AF2" w:rsidP="00DD6A51">
      <w:pPr>
        <w:pStyle w:val="ListParagraph"/>
        <w:widowControl w:val="0"/>
        <w:numPr>
          <w:ilvl w:val="1"/>
          <w:numId w:val="7"/>
        </w:numPr>
        <w:tabs>
          <w:tab w:val="left" w:pos="851"/>
        </w:tabs>
        <w:autoSpaceDE w:val="0"/>
        <w:autoSpaceDN w:val="0"/>
        <w:spacing w:after="0" w:line="360" w:lineRule="auto"/>
        <w:ind w:left="993" w:hanging="241"/>
        <w:contextualSpacing w:val="0"/>
        <w:jc w:val="both"/>
        <w:rPr>
          <w:rFonts w:cs="Times New Roman"/>
          <w:sz w:val="26"/>
          <w:szCs w:val="26"/>
        </w:rPr>
      </w:pPr>
      <w:r w:rsidRPr="009D5569">
        <w:rPr>
          <w:rFonts w:cs="Times New Roman"/>
          <w:sz w:val="26"/>
          <w:szCs w:val="26"/>
        </w:rPr>
        <w:t>Đỏ vùng</w:t>
      </w:r>
      <w:r w:rsidRPr="009D5569">
        <w:rPr>
          <w:rFonts w:cs="Times New Roman"/>
          <w:spacing w:val="-4"/>
          <w:sz w:val="26"/>
          <w:szCs w:val="26"/>
        </w:rPr>
        <w:t xml:space="preserve"> </w:t>
      </w:r>
      <w:r w:rsidRPr="009D5569">
        <w:rPr>
          <w:rFonts w:cs="Times New Roman"/>
          <w:sz w:val="26"/>
          <w:szCs w:val="26"/>
        </w:rPr>
        <w:t>khớp.</w:t>
      </w:r>
    </w:p>
    <w:p w14:paraId="507D5FBF" w14:textId="77777777" w:rsidR="00353AF2" w:rsidRPr="009D5569" w:rsidRDefault="00353AF2" w:rsidP="00DD6A51">
      <w:pPr>
        <w:pStyle w:val="ListParagraph"/>
        <w:widowControl w:val="0"/>
        <w:numPr>
          <w:ilvl w:val="1"/>
          <w:numId w:val="7"/>
        </w:numPr>
        <w:tabs>
          <w:tab w:val="left" w:pos="851"/>
        </w:tabs>
        <w:autoSpaceDE w:val="0"/>
        <w:autoSpaceDN w:val="0"/>
        <w:spacing w:after="0" w:line="360" w:lineRule="auto"/>
        <w:ind w:left="993" w:hanging="241"/>
        <w:contextualSpacing w:val="0"/>
        <w:jc w:val="both"/>
        <w:rPr>
          <w:rFonts w:cs="Times New Roman"/>
          <w:sz w:val="26"/>
          <w:szCs w:val="26"/>
        </w:rPr>
      </w:pPr>
      <w:r w:rsidRPr="009D5569">
        <w:rPr>
          <w:rFonts w:cs="Times New Roman"/>
          <w:sz w:val="26"/>
          <w:szCs w:val="26"/>
        </w:rPr>
        <w:t>Sưng, đau khớp bàn ngón chân</w:t>
      </w:r>
      <w:r w:rsidRPr="009D5569">
        <w:rPr>
          <w:rFonts w:cs="Times New Roman"/>
          <w:spacing w:val="1"/>
          <w:sz w:val="26"/>
          <w:szCs w:val="26"/>
        </w:rPr>
        <w:t xml:space="preserve"> </w:t>
      </w:r>
      <w:r w:rsidRPr="009D5569">
        <w:rPr>
          <w:rFonts w:cs="Times New Roman"/>
          <w:sz w:val="26"/>
          <w:szCs w:val="26"/>
        </w:rPr>
        <w:t>I.</w:t>
      </w:r>
    </w:p>
    <w:p w14:paraId="74CEFD59" w14:textId="77777777" w:rsidR="00353AF2" w:rsidRPr="009D5569" w:rsidRDefault="00353AF2" w:rsidP="00DD6A51">
      <w:pPr>
        <w:pStyle w:val="ListParagraph"/>
        <w:widowControl w:val="0"/>
        <w:numPr>
          <w:ilvl w:val="1"/>
          <w:numId w:val="7"/>
        </w:numPr>
        <w:tabs>
          <w:tab w:val="left" w:pos="851"/>
        </w:tabs>
        <w:autoSpaceDE w:val="0"/>
        <w:autoSpaceDN w:val="0"/>
        <w:spacing w:after="0" w:line="360" w:lineRule="auto"/>
        <w:ind w:left="993" w:hanging="241"/>
        <w:contextualSpacing w:val="0"/>
        <w:jc w:val="both"/>
        <w:rPr>
          <w:rFonts w:cs="Times New Roman"/>
          <w:sz w:val="26"/>
          <w:szCs w:val="26"/>
        </w:rPr>
      </w:pPr>
      <w:r w:rsidRPr="009D5569">
        <w:rPr>
          <w:rFonts w:cs="Times New Roman"/>
          <w:sz w:val="26"/>
          <w:szCs w:val="26"/>
        </w:rPr>
        <w:t>Viêm khớp bàn ngón chân I ở một</w:t>
      </w:r>
      <w:r w:rsidRPr="009D5569">
        <w:rPr>
          <w:rFonts w:cs="Times New Roman"/>
          <w:spacing w:val="-3"/>
          <w:sz w:val="26"/>
          <w:szCs w:val="26"/>
        </w:rPr>
        <w:t xml:space="preserve"> </w:t>
      </w:r>
      <w:r w:rsidRPr="009D5569">
        <w:rPr>
          <w:rFonts w:cs="Times New Roman"/>
          <w:sz w:val="26"/>
          <w:szCs w:val="26"/>
        </w:rPr>
        <w:t>bên.</w:t>
      </w:r>
    </w:p>
    <w:p w14:paraId="43DA2CCD" w14:textId="77777777" w:rsidR="00353AF2" w:rsidRPr="009D5569" w:rsidRDefault="00353AF2" w:rsidP="00DD6A51">
      <w:pPr>
        <w:pStyle w:val="ListParagraph"/>
        <w:widowControl w:val="0"/>
        <w:numPr>
          <w:ilvl w:val="1"/>
          <w:numId w:val="7"/>
        </w:numPr>
        <w:tabs>
          <w:tab w:val="left" w:pos="851"/>
        </w:tabs>
        <w:autoSpaceDE w:val="0"/>
        <w:autoSpaceDN w:val="0"/>
        <w:spacing w:after="0" w:line="360" w:lineRule="auto"/>
        <w:ind w:left="993" w:hanging="241"/>
        <w:contextualSpacing w:val="0"/>
        <w:jc w:val="both"/>
        <w:rPr>
          <w:rFonts w:cs="Times New Roman"/>
          <w:sz w:val="26"/>
          <w:szCs w:val="26"/>
        </w:rPr>
      </w:pPr>
      <w:r w:rsidRPr="009D5569">
        <w:rPr>
          <w:rFonts w:cs="Times New Roman"/>
          <w:sz w:val="26"/>
          <w:szCs w:val="26"/>
        </w:rPr>
        <w:t>Viêm khớp cổ chân một</w:t>
      </w:r>
      <w:r w:rsidRPr="009D5569">
        <w:rPr>
          <w:rFonts w:cs="Times New Roman"/>
          <w:spacing w:val="-1"/>
          <w:sz w:val="26"/>
          <w:szCs w:val="26"/>
        </w:rPr>
        <w:t xml:space="preserve"> </w:t>
      </w:r>
      <w:r w:rsidRPr="009D5569">
        <w:rPr>
          <w:rFonts w:cs="Times New Roman"/>
          <w:sz w:val="26"/>
          <w:szCs w:val="26"/>
        </w:rPr>
        <w:t>bên.</w:t>
      </w:r>
    </w:p>
    <w:p w14:paraId="23F59CDA" w14:textId="77777777" w:rsidR="00353AF2" w:rsidRPr="009D5569" w:rsidRDefault="00353AF2" w:rsidP="00DD6A51">
      <w:pPr>
        <w:pStyle w:val="ListParagraph"/>
        <w:widowControl w:val="0"/>
        <w:numPr>
          <w:ilvl w:val="1"/>
          <w:numId w:val="7"/>
        </w:numPr>
        <w:tabs>
          <w:tab w:val="left" w:pos="851"/>
        </w:tabs>
        <w:autoSpaceDE w:val="0"/>
        <w:autoSpaceDN w:val="0"/>
        <w:spacing w:after="0" w:line="360" w:lineRule="auto"/>
        <w:ind w:left="993" w:hanging="241"/>
        <w:contextualSpacing w:val="0"/>
        <w:jc w:val="both"/>
        <w:rPr>
          <w:rFonts w:cs="Times New Roman"/>
          <w:sz w:val="26"/>
          <w:szCs w:val="26"/>
        </w:rPr>
      </w:pPr>
      <w:r w:rsidRPr="009D5569">
        <w:rPr>
          <w:rFonts w:cs="Times New Roman"/>
          <w:sz w:val="26"/>
          <w:szCs w:val="26"/>
        </w:rPr>
        <w:t>Tôphi nhìn thấy</w:t>
      </w:r>
      <w:r w:rsidRPr="009D5569">
        <w:rPr>
          <w:rFonts w:cs="Times New Roman"/>
          <w:spacing w:val="-6"/>
          <w:sz w:val="26"/>
          <w:szCs w:val="26"/>
        </w:rPr>
        <w:t xml:space="preserve"> </w:t>
      </w:r>
      <w:r w:rsidRPr="009D5569">
        <w:rPr>
          <w:rFonts w:cs="Times New Roman"/>
          <w:sz w:val="26"/>
          <w:szCs w:val="26"/>
        </w:rPr>
        <w:t>được</w:t>
      </w:r>
    </w:p>
    <w:p w14:paraId="208F0BA6" w14:textId="77777777" w:rsidR="00353AF2" w:rsidRPr="009D5569" w:rsidRDefault="00353AF2" w:rsidP="00DD6A51">
      <w:pPr>
        <w:pStyle w:val="ListParagraph"/>
        <w:widowControl w:val="0"/>
        <w:numPr>
          <w:ilvl w:val="1"/>
          <w:numId w:val="7"/>
        </w:numPr>
        <w:tabs>
          <w:tab w:val="left" w:pos="851"/>
        </w:tabs>
        <w:autoSpaceDE w:val="0"/>
        <w:autoSpaceDN w:val="0"/>
        <w:spacing w:after="0" w:line="360" w:lineRule="auto"/>
        <w:ind w:left="993" w:hanging="241"/>
        <w:contextualSpacing w:val="0"/>
        <w:jc w:val="both"/>
        <w:rPr>
          <w:rFonts w:cs="Times New Roman"/>
          <w:sz w:val="26"/>
          <w:szCs w:val="26"/>
        </w:rPr>
      </w:pPr>
      <w:r w:rsidRPr="009D5569">
        <w:rPr>
          <w:rFonts w:cs="Times New Roman"/>
          <w:sz w:val="26"/>
          <w:szCs w:val="26"/>
        </w:rPr>
        <w:t>Tăng acid uric máu (nam ≥ 420 mmol/l, nữ ≥</w:t>
      </w:r>
      <w:r w:rsidRPr="009D5569">
        <w:rPr>
          <w:rFonts w:cs="Times New Roman"/>
          <w:spacing w:val="-3"/>
          <w:sz w:val="26"/>
          <w:szCs w:val="26"/>
        </w:rPr>
        <w:t xml:space="preserve"> </w:t>
      </w:r>
      <w:r w:rsidRPr="009D5569">
        <w:rPr>
          <w:rFonts w:cs="Times New Roman"/>
          <w:sz w:val="26"/>
          <w:szCs w:val="26"/>
        </w:rPr>
        <w:t>360 mmol/l).</w:t>
      </w:r>
    </w:p>
    <w:p w14:paraId="2ABE987A" w14:textId="77777777" w:rsidR="00353AF2" w:rsidRPr="009D5569" w:rsidRDefault="00353AF2" w:rsidP="00DD6A51">
      <w:pPr>
        <w:pStyle w:val="ListParagraph"/>
        <w:widowControl w:val="0"/>
        <w:numPr>
          <w:ilvl w:val="1"/>
          <w:numId w:val="7"/>
        </w:numPr>
        <w:tabs>
          <w:tab w:val="left" w:pos="851"/>
          <w:tab w:val="left" w:pos="1152"/>
        </w:tabs>
        <w:autoSpaceDE w:val="0"/>
        <w:autoSpaceDN w:val="0"/>
        <w:spacing w:after="0" w:line="360" w:lineRule="auto"/>
        <w:ind w:left="993" w:hanging="361"/>
        <w:contextualSpacing w:val="0"/>
        <w:jc w:val="both"/>
        <w:rPr>
          <w:rFonts w:cs="Times New Roman"/>
          <w:sz w:val="26"/>
          <w:szCs w:val="26"/>
        </w:rPr>
      </w:pPr>
      <w:r w:rsidRPr="009D5569">
        <w:rPr>
          <w:rFonts w:cs="Times New Roman"/>
          <w:sz w:val="26"/>
          <w:szCs w:val="26"/>
        </w:rPr>
        <w:t>Sưng đau khớp không đối</w:t>
      </w:r>
      <w:r w:rsidRPr="009D5569">
        <w:rPr>
          <w:rFonts w:cs="Times New Roman"/>
          <w:spacing w:val="-7"/>
          <w:sz w:val="26"/>
          <w:szCs w:val="26"/>
        </w:rPr>
        <w:t xml:space="preserve"> </w:t>
      </w:r>
      <w:r w:rsidRPr="009D5569">
        <w:rPr>
          <w:rFonts w:cs="Times New Roman"/>
          <w:sz w:val="26"/>
          <w:szCs w:val="26"/>
        </w:rPr>
        <w:t>xứng.</w:t>
      </w:r>
    </w:p>
    <w:p w14:paraId="6CEC4A7F" w14:textId="77777777" w:rsidR="00353AF2" w:rsidRPr="009D5569" w:rsidRDefault="00353AF2" w:rsidP="00DD6A51">
      <w:pPr>
        <w:pStyle w:val="ListParagraph"/>
        <w:widowControl w:val="0"/>
        <w:numPr>
          <w:ilvl w:val="1"/>
          <w:numId w:val="7"/>
        </w:numPr>
        <w:tabs>
          <w:tab w:val="left" w:pos="851"/>
          <w:tab w:val="left" w:pos="1152"/>
        </w:tabs>
        <w:autoSpaceDE w:val="0"/>
        <w:autoSpaceDN w:val="0"/>
        <w:spacing w:after="0" w:line="360" w:lineRule="auto"/>
        <w:ind w:left="993" w:hanging="361"/>
        <w:contextualSpacing w:val="0"/>
        <w:jc w:val="both"/>
        <w:rPr>
          <w:rFonts w:cs="Times New Roman"/>
          <w:sz w:val="26"/>
          <w:szCs w:val="26"/>
        </w:rPr>
      </w:pPr>
      <w:r w:rsidRPr="009D5569">
        <w:rPr>
          <w:rFonts w:cs="Times New Roman"/>
          <w:sz w:val="26"/>
          <w:szCs w:val="26"/>
        </w:rPr>
        <w:t>Nang dưới vỏ xương, không có hình khuyết xương trên</w:t>
      </w:r>
      <w:r w:rsidRPr="009D5569">
        <w:rPr>
          <w:rFonts w:cs="Times New Roman"/>
          <w:spacing w:val="-10"/>
          <w:sz w:val="26"/>
          <w:szCs w:val="26"/>
        </w:rPr>
        <w:t xml:space="preserve"> </w:t>
      </w:r>
      <w:r w:rsidRPr="009D5569">
        <w:rPr>
          <w:rFonts w:cs="Times New Roman"/>
          <w:sz w:val="26"/>
          <w:szCs w:val="26"/>
        </w:rPr>
        <w:t>Xquang.</w:t>
      </w:r>
    </w:p>
    <w:p w14:paraId="3FF2E399" w14:textId="77777777" w:rsidR="00353AF2" w:rsidRPr="009D5569" w:rsidRDefault="00353AF2" w:rsidP="00DD6A51">
      <w:pPr>
        <w:pStyle w:val="ListParagraph"/>
        <w:widowControl w:val="0"/>
        <w:numPr>
          <w:ilvl w:val="1"/>
          <w:numId w:val="7"/>
        </w:numPr>
        <w:tabs>
          <w:tab w:val="left" w:pos="851"/>
          <w:tab w:val="left" w:pos="1152"/>
        </w:tabs>
        <w:autoSpaceDE w:val="0"/>
        <w:autoSpaceDN w:val="0"/>
        <w:spacing w:after="0" w:line="360" w:lineRule="auto"/>
        <w:ind w:left="993" w:hanging="361"/>
        <w:contextualSpacing w:val="0"/>
        <w:jc w:val="both"/>
        <w:rPr>
          <w:rFonts w:cs="Times New Roman"/>
          <w:sz w:val="26"/>
          <w:szCs w:val="26"/>
        </w:rPr>
      </w:pPr>
      <w:r w:rsidRPr="009D5569">
        <w:rPr>
          <w:rFonts w:cs="Times New Roman"/>
          <w:sz w:val="26"/>
          <w:szCs w:val="26"/>
        </w:rPr>
        <w:t>Cấy vi khuẩn âm</w:t>
      </w:r>
      <w:r w:rsidRPr="009D5569">
        <w:rPr>
          <w:rFonts w:cs="Times New Roman"/>
          <w:spacing w:val="-4"/>
          <w:sz w:val="26"/>
          <w:szCs w:val="26"/>
        </w:rPr>
        <w:t xml:space="preserve"> </w:t>
      </w:r>
      <w:r w:rsidRPr="009D5569">
        <w:rPr>
          <w:rFonts w:cs="Times New Roman"/>
          <w:sz w:val="26"/>
          <w:szCs w:val="26"/>
        </w:rPr>
        <w:t>tính.</w:t>
      </w:r>
    </w:p>
    <w:p w14:paraId="51F26C2B" w14:textId="4E32816C" w:rsidR="00353AF2" w:rsidRPr="00D5611B" w:rsidRDefault="00353AF2" w:rsidP="00DD6A51">
      <w:pPr>
        <w:pStyle w:val="Heading3"/>
        <w:numPr>
          <w:ilvl w:val="0"/>
          <w:numId w:val="33"/>
        </w:numPr>
        <w:tabs>
          <w:tab w:val="left" w:pos="645"/>
        </w:tabs>
        <w:spacing w:line="360" w:lineRule="auto"/>
        <w:ind w:left="709"/>
        <w:jc w:val="both"/>
        <w:rPr>
          <w:sz w:val="26"/>
          <w:szCs w:val="26"/>
          <w:lang w:val="en-US"/>
        </w:rPr>
      </w:pPr>
      <w:r w:rsidRPr="00D5611B">
        <w:rPr>
          <w:sz w:val="26"/>
          <w:szCs w:val="26"/>
          <w:lang w:val="en-US"/>
        </w:rPr>
        <w:t>Theo tiêu chuẩn 2015 của hội Thấp khớp học Hoa Kì và Liên đoàn Chống thấp khớp Châu Âu</w:t>
      </w:r>
      <w:r w:rsidR="00D5611B">
        <w:rPr>
          <w:sz w:val="26"/>
          <w:szCs w:val="26"/>
          <w:lang w:val="en-US"/>
        </w:rPr>
        <w:t xml:space="preserve"> </w:t>
      </w:r>
      <w:r w:rsidRPr="00D5611B">
        <w:rPr>
          <w:sz w:val="26"/>
          <w:szCs w:val="26"/>
          <w:lang w:val="en-US"/>
        </w:rPr>
        <w:t>(ACR/EULAR 2015)</w:t>
      </w:r>
    </w:p>
    <w:tbl>
      <w:tblPr>
        <w:tblW w:w="9849" w:type="dxa"/>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390"/>
        <w:gridCol w:w="3969"/>
        <w:gridCol w:w="50"/>
        <w:gridCol w:w="1225"/>
        <w:gridCol w:w="215"/>
      </w:tblGrid>
      <w:tr w:rsidR="00353AF2" w:rsidRPr="009D5569" w14:paraId="3A3C8B36" w14:textId="77777777" w:rsidTr="00101DBA">
        <w:trPr>
          <w:gridAfter w:val="1"/>
          <w:wAfter w:w="215" w:type="dxa"/>
          <w:trHeight w:val="635"/>
          <w:tblCellSpacing w:w="0" w:type="dxa"/>
        </w:trPr>
        <w:tc>
          <w:tcPr>
            <w:tcW w:w="4390" w:type="dxa"/>
            <w:vAlign w:val="center"/>
            <w:hideMark/>
          </w:tcPr>
          <w:p w14:paraId="5C2C7F71" w14:textId="77777777" w:rsidR="00353AF2" w:rsidRPr="00D5611B" w:rsidRDefault="00353AF2" w:rsidP="00DD6A51">
            <w:pPr>
              <w:spacing w:before="100" w:beforeAutospacing="1" w:after="0" w:line="360" w:lineRule="auto"/>
              <w:jc w:val="center"/>
              <w:rPr>
                <w:rFonts w:cs="Times New Roman"/>
                <w:b/>
                <w:color w:val="000000"/>
                <w:sz w:val="26"/>
                <w:szCs w:val="26"/>
              </w:rPr>
            </w:pPr>
            <w:r w:rsidRPr="00D5611B">
              <w:rPr>
                <w:rFonts w:cs="Times New Roman"/>
                <w:b/>
                <w:color w:val="000000"/>
                <w:sz w:val="26"/>
                <w:szCs w:val="26"/>
              </w:rPr>
              <w:t>Các bước chẩn đoán</w:t>
            </w:r>
          </w:p>
        </w:tc>
        <w:tc>
          <w:tcPr>
            <w:tcW w:w="3969" w:type="dxa"/>
            <w:vAlign w:val="center"/>
            <w:hideMark/>
          </w:tcPr>
          <w:p w14:paraId="3221F961" w14:textId="77777777" w:rsidR="00353AF2" w:rsidRPr="00D5611B" w:rsidRDefault="00353AF2" w:rsidP="00DD6A51">
            <w:pPr>
              <w:spacing w:before="100" w:beforeAutospacing="1" w:after="0" w:line="360" w:lineRule="auto"/>
              <w:jc w:val="center"/>
              <w:rPr>
                <w:rFonts w:cs="Times New Roman"/>
                <w:b/>
                <w:color w:val="000000"/>
                <w:sz w:val="26"/>
                <w:szCs w:val="26"/>
              </w:rPr>
            </w:pPr>
            <w:r w:rsidRPr="00D5611B">
              <w:rPr>
                <w:rFonts w:cs="Times New Roman"/>
                <w:b/>
                <w:color w:val="000000"/>
                <w:sz w:val="26"/>
                <w:szCs w:val="26"/>
              </w:rPr>
              <w:t>Tiêu chuẩn</w:t>
            </w:r>
          </w:p>
        </w:tc>
        <w:tc>
          <w:tcPr>
            <w:tcW w:w="1275" w:type="dxa"/>
            <w:gridSpan w:val="2"/>
            <w:vAlign w:val="center"/>
            <w:hideMark/>
          </w:tcPr>
          <w:p w14:paraId="5C68C438" w14:textId="77777777" w:rsidR="00353AF2" w:rsidRPr="00D5611B" w:rsidRDefault="00353AF2" w:rsidP="00DD6A51">
            <w:pPr>
              <w:spacing w:before="100" w:beforeAutospacing="1" w:after="0" w:line="360" w:lineRule="auto"/>
              <w:jc w:val="center"/>
              <w:rPr>
                <w:rFonts w:cs="Times New Roman"/>
                <w:b/>
                <w:color w:val="000000"/>
                <w:sz w:val="26"/>
                <w:szCs w:val="26"/>
              </w:rPr>
            </w:pPr>
            <w:r w:rsidRPr="00D5611B">
              <w:rPr>
                <w:rFonts w:cs="Times New Roman"/>
                <w:b/>
                <w:color w:val="000000"/>
                <w:sz w:val="26"/>
                <w:szCs w:val="26"/>
              </w:rPr>
              <w:t>Điểm</w:t>
            </w:r>
          </w:p>
        </w:tc>
      </w:tr>
      <w:tr w:rsidR="00353AF2" w:rsidRPr="009D5569" w14:paraId="68D76D50" w14:textId="77777777" w:rsidTr="00101DBA">
        <w:trPr>
          <w:gridAfter w:val="1"/>
          <w:wAfter w:w="215" w:type="dxa"/>
          <w:trHeight w:val="512"/>
          <w:tblCellSpacing w:w="0" w:type="dxa"/>
        </w:trPr>
        <w:tc>
          <w:tcPr>
            <w:tcW w:w="4390" w:type="dxa"/>
            <w:vAlign w:val="center"/>
            <w:hideMark/>
          </w:tcPr>
          <w:p w14:paraId="3FB55B8D" w14:textId="77777777" w:rsidR="00353AF2" w:rsidRPr="009D5569" w:rsidRDefault="00353AF2" w:rsidP="00DD6A51">
            <w:pPr>
              <w:spacing w:before="100" w:beforeAutospacing="1" w:after="0" w:line="360" w:lineRule="auto"/>
              <w:rPr>
                <w:rFonts w:cs="Times New Roman"/>
                <w:color w:val="000000"/>
                <w:sz w:val="26"/>
                <w:szCs w:val="26"/>
              </w:rPr>
            </w:pPr>
            <w:r w:rsidRPr="009D5569">
              <w:rPr>
                <w:rFonts w:cs="Times New Roman"/>
                <w:color w:val="000000"/>
                <w:sz w:val="26"/>
                <w:szCs w:val="26"/>
              </w:rPr>
              <w:t>Bước 1: Tiêu chuẩn đầu vào</w:t>
            </w:r>
          </w:p>
        </w:tc>
        <w:tc>
          <w:tcPr>
            <w:tcW w:w="3969" w:type="dxa"/>
            <w:vAlign w:val="center"/>
            <w:hideMark/>
          </w:tcPr>
          <w:p w14:paraId="2B860E42" w14:textId="1C70C051" w:rsidR="00353AF2" w:rsidRPr="009D5569" w:rsidRDefault="00D5611B" w:rsidP="00DD6A51">
            <w:pPr>
              <w:spacing w:before="100" w:beforeAutospacing="1" w:after="0" w:line="360" w:lineRule="auto"/>
              <w:rPr>
                <w:rFonts w:cs="Times New Roman"/>
                <w:color w:val="000000"/>
                <w:sz w:val="26"/>
                <w:szCs w:val="26"/>
              </w:rPr>
            </w:pPr>
            <w:r>
              <w:rPr>
                <w:rFonts w:cs="Times New Roman"/>
                <w:color w:val="000000"/>
                <w:sz w:val="26"/>
                <w:szCs w:val="26"/>
              </w:rPr>
              <w:t xml:space="preserve"> </w:t>
            </w:r>
            <w:r w:rsidR="00353AF2" w:rsidRPr="009D5569">
              <w:rPr>
                <w:rFonts w:cs="Times New Roman"/>
                <w:color w:val="000000"/>
                <w:sz w:val="26"/>
                <w:szCs w:val="26"/>
              </w:rPr>
              <w:t>≥ 1 đợt sưng đau 1 khớp ngoại biên.</w:t>
            </w:r>
          </w:p>
        </w:tc>
        <w:tc>
          <w:tcPr>
            <w:tcW w:w="1275" w:type="dxa"/>
            <w:gridSpan w:val="2"/>
            <w:vAlign w:val="center"/>
            <w:hideMark/>
          </w:tcPr>
          <w:p w14:paraId="50DDD23E" w14:textId="77777777" w:rsidR="00353AF2" w:rsidRPr="009D5569" w:rsidRDefault="00353AF2" w:rsidP="00DD6A51">
            <w:pPr>
              <w:spacing w:before="100" w:beforeAutospacing="1" w:after="0" w:line="360" w:lineRule="auto"/>
              <w:jc w:val="center"/>
              <w:rPr>
                <w:rFonts w:cs="Times New Roman"/>
                <w:color w:val="000000"/>
                <w:sz w:val="26"/>
                <w:szCs w:val="26"/>
              </w:rPr>
            </w:pPr>
            <w:r w:rsidRPr="009D5569">
              <w:rPr>
                <w:rFonts w:cs="Times New Roman"/>
                <w:color w:val="000000"/>
                <w:sz w:val="26"/>
                <w:szCs w:val="26"/>
              </w:rPr>
              <w:t>Có/Không</w:t>
            </w:r>
          </w:p>
        </w:tc>
      </w:tr>
      <w:tr w:rsidR="00353AF2" w:rsidRPr="009D5569" w14:paraId="3AF10C75" w14:textId="77777777" w:rsidTr="00101DBA">
        <w:trPr>
          <w:gridAfter w:val="1"/>
          <w:wAfter w:w="215" w:type="dxa"/>
          <w:trHeight w:val="692"/>
          <w:tblCellSpacing w:w="0" w:type="dxa"/>
        </w:trPr>
        <w:tc>
          <w:tcPr>
            <w:tcW w:w="4390" w:type="dxa"/>
            <w:vAlign w:val="center"/>
            <w:hideMark/>
          </w:tcPr>
          <w:p w14:paraId="2B897945" w14:textId="77777777" w:rsidR="00353AF2" w:rsidRPr="009D5569" w:rsidRDefault="00353AF2" w:rsidP="00DD6A51">
            <w:pPr>
              <w:spacing w:before="100" w:beforeAutospacing="1" w:after="0" w:line="360" w:lineRule="auto"/>
              <w:rPr>
                <w:rFonts w:cs="Times New Roman"/>
                <w:color w:val="000000"/>
                <w:sz w:val="26"/>
                <w:szCs w:val="26"/>
              </w:rPr>
            </w:pPr>
            <w:r w:rsidRPr="009D5569">
              <w:rPr>
                <w:rFonts w:cs="Times New Roman"/>
                <w:color w:val="000000"/>
                <w:sz w:val="26"/>
                <w:szCs w:val="26"/>
              </w:rPr>
              <w:t>Bước 2: Tiêu chuẩn vàng</w:t>
            </w:r>
          </w:p>
        </w:tc>
        <w:tc>
          <w:tcPr>
            <w:tcW w:w="3969" w:type="dxa"/>
            <w:vAlign w:val="center"/>
            <w:hideMark/>
          </w:tcPr>
          <w:p w14:paraId="53FE126C" w14:textId="77777777" w:rsidR="00353AF2" w:rsidRPr="009D5569" w:rsidRDefault="00353AF2" w:rsidP="00DD6A51">
            <w:pPr>
              <w:spacing w:before="100" w:beforeAutospacing="1" w:after="0" w:line="360" w:lineRule="auto"/>
              <w:rPr>
                <w:rFonts w:cs="Times New Roman"/>
                <w:color w:val="000000"/>
                <w:sz w:val="26"/>
                <w:szCs w:val="26"/>
              </w:rPr>
            </w:pPr>
            <w:r w:rsidRPr="009D5569">
              <w:rPr>
                <w:rFonts w:cs="Times New Roman"/>
                <w:color w:val="000000"/>
                <w:sz w:val="26"/>
                <w:szCs w:val="26"/>
              </w:rPr>
              <w:t>Phát hiện tinh thể urat trong trong dịch khớp hoặc hạt tophy.</w:t>
            </w:r>
          </w:p>
        </w:tc>
        <w:tc>
          <w:tcPr>
            <w:tcW w:w="1275" w:type="dxa"/>
            <w:gridSpan w:val="2"/>
            <w:vAlign w:val="center"/>
            <w:hideMark/>
          </w:tcPr>
          <w:p w14:paraId="5515A894" w14:textId="77777777" w:rsidR="00353AF2" w:rsidRPr="009D5569" w:rsidRDefault="00353AF2" w:rsidP="00DD6A51">
            <w:pPr>
              <w:spacing w:before="100" w:beforeAutospacing="1" w:after="0" w:line="360" w:lineRule="auto"/>
              <w:jc w:val="center"/>
              <w:rPr>
                <w:rFonts w:cs="Times New Roman"/>
                <w:color w:val="000000"/>
                <w:sz w:val="26"/>
                <w:szCs w:val="26"/>
              </w:rPr>
            </w:pPr>
            <w:r w:rsidRPr="009D5569">
              <w:rPr>
                <w:rFonts w:cs="Times New Roman"/>
                <w:color w:val="000000"/>
                <w:sz w:val="26"/>
                <w:szCs w:val="26"/>
              </w:rPr>
              <w:t>Có/Không</w:t>
            </w:r>
          </w:p>
        </w:tc>
      </w:tr>
      <w:tr w:rsidR="00353AF2" w:rsidRPr="009D5569" w14:paraId="6EE613BE" w14:textId="77777777" w:rsidTr="00101DBA">
        <w:trPr>
          <w:gridAfter w:val="1"/>
          <w:wAfter w:w="215" w:type="dxa"/>
          <w:trHeight w:val="394"/>
          <w:tblCellSpacing w:w="0" w:type="dxa"/>
        </w:trPr>
        <w:tc>
          <w:tcPr>
            <w:tcW w:w="8359" w:type="dxa"/>
            <w:gridSpan w:val="2"/>
            <w:vAlign w:val="center"/>
            <w:hideMark/>
          </w:tcPr>
          <w:p w14:paraId="4C77C469" w14:textId="77777777" w:rsidR="00353AF2" w:rsidRPr="009D5569" w:rsidRDefault="00353AF2" w:rsidP="00DD6A51">
            <w:pPr>
              <w:spacing w:before="100" w:beforeAutospacing="1" w:after="0" w:line="360" w:lineRule="auto"/>
              <w:rPr>
                <w:rFonts w:cs="Times New Roman"/>
                <w:color w:val="000000"/>
                <w:sz w:val="26"/>
                <w:szCs w:val="26"/>
              </w:rPr>
            </w:pPr>
            <w:r w:rsidRPr="009D5569">
              <w:rPr>
                <w:rFonts w:cs="Times New Roman"/>
                <w:color w:val="000000"/>
                <w:sz w:val="26"/>
                <w:szCs w:val="26"/>
              </w:rPr>
              <w:t>Bước 3: Nếu không phát hiện được tinh thể urat</w:t>
            </w:r>
          </w:p>
          <w:p w14:paraId="29B6DD2B" w14:textId="77777777" w:rsidR="00353AF2" w:rsidRPr="009D5569" w:rsidRDefault="00353AF2" w:rsidP="00DD6A51">
            <w:pPr>
              <w:spacing w:before="100" w:beforeAutospacing="1" w:after="0" w:line="360" w:lineRule="auto"/>
              <w:rPr>
                <w:rFonts w:cs="Times New Roman"/>
                <w:color w:val="000000"/>
                <w:sz w:val="26"/>
                <w:szCs w:val="26"/>
              </w:rPr>
            </w:pPr>
          </w:p>
        </w:tc>
        <w:tc>
          <w:tcPr>
            <w:tcW w:w="1275" w:type="dxa"/>
            <w:gridSpan w:val="2"/>
            <w:vAlign w:val="center"/>
            <w:hideMark/>
          </w:tcPr>
          <w:p w14:paraId="674F791C" w14:textId="77777777" w:rsidR="00353AF2" w:rsidRPr="009D5569" w:rsidRDefault="00353AF2" w:rsidP="00DD6A51">
            <w:pPr>
              <w:spacing w:before="100" w:beforeAutospacing="1" w:after="0" w:line="360" w:lineRule="auto"/>
              <w:jc w:val="center"/>
              <w:rPr>
                <w:rFonts w:cs="Times New Roman"/>
                <w:color w:val="000000"/>
                <w:sz w:val="26"/>
                <w:szCs w:val="26"/>
              </w:rPr>
            </w:pPr>
          </w:p>
        </w:tc>
      </w:tr>
      <w:tr w:rsidR="00101DBA" w:rsidRPr="009D5569" w14:paraId="1775A966" w14:textId="77777777" w:rsidTr="00101DBA">
        <w:trPr>
          <w:gridAfter w:val="1"/>
          <w:wAfter w:w="215" w:type="dxa"/>
          <w:tblCellSpacing w:w="0" w:type="dxa"/>
        </w:trPr>
        <w:tc>
          <w:tcPr>
            <w:tcW w:w="9634" w:type="dxa"/>
            <w:gridSpan w:val="4"/>
            <w:vAlign w:val="center"/>
            <w:hideMark/>
          </w:tcPr>
          <w:p w14:paraId="6374EB59" w14:textId="116625E5" w:rsidR="00101DBA" w:rsidRPr="009D5569" w:rsidRDefault="00101DBA" w:rsidP="00DD6A51">
            <w:pPr>
              <w:spacing w:before="100" w:beforeAutospacing="1" w:after="0" w:line="360" w:lineRule="auto"/>
              <w:rPr>
                <w:rFonts w:cs="Times New Roman"/>
                <w:color w:val="000000"/>
                <w:sz w:val="26"/>
                <w:szCs w:val="26"/>
              </w:rPr>
            </w:pPr>
            <w:r w:rsidRPr="00101DBA">
              <w:rPr>
                <w:rFonts w:cs="Times New Roman"/>
                <w:b/>
                <w:color w:val="000000"/>
                <w:sz w:val="26"/>
                <w:szCs w:val="26"/>
              </w:rPr>
              <w:t>* Lâm sàng</w:t>
            </w:r>
          </w:p>
        </w:tc>
      </w:tr>
      <w:tr w:rsidR="00353AF2" w:rsidRPr="009D5569" w14:paraId="55CA8B82" w14:textId="77777777" w:rsidTr="00101DBA">
        <w:trPr>
          <w:gridAfter w:val="1"/>
          <w:wAfter w:w="215" w:type="dxa"/>
          <w:trHeight w:val="338"/>
          <w:tblCellSpacing w:w="0" w:type="dxa"/>
        </w:trPr>
        <w:tc>
          <w:tcPr>
            <w:tcW w:w="4390" w:type="dxa"/>
            <w:vMerge w:val="restart"/>
            <w:vAlign w:val="center"/>
            <w:hideMark/>
          </w:tcPr>
          <w:p w14:paraId="7DEE3826" w14:textId="42E01B86" w:rsidR="00353AF2" w:rsidRPr="009D5569" w:rsidRDefault="00353AF2" w:rsidP="00DD6A51">
            <w:pPr>
              <w:spacing w:after="0" w:line="360" w:lineRule="auto"/>
              <w:rPr>
                <w:rFonts w:cs="Times New Roman"/>
                <w:color w:val="000000"/>
                <w:sz w:val="26"/>
                <w:szCs w:val="26"/>
              </w:rPr>
            </w:pPr>
            <w:r w:rsidRPr="009D5569">
              <w:rPr>
                <w:rFonts w:cs="Times New Roman"/>
                <w:color w:val="000000"/>
                <w:sz w:val="26"/>
                <w:szCs w:val="26"/>
              </w:rPr>
              <w:t>1. Đặc điểm của</w:t>
            </w:r>
            <w:r w:rsidR="00D5611B">
              <w:rPr>
                <w:rFonts w:cs="Times New Roman"/>
                <w:color w:val="000000"/>
                <w:sz w:val="26"/>
                <w:szCs w:val="26"/>
              </w:rPr>
              <w:t xml:space="preserve"> </w:t>
            </w:r>
            <w:r w:rsidRPr="009D5569">
              <w:rPr>
                <w:rFonts w:cs="Times New Roman"/>
                <w:color w:val="000000"/>
                <w:sz w:val="26"/>
                <w:szCs w:val="26"/>
              </w:rPr>
              <w:t>viêm một hay vài khớp</w:t>
            </w:r>
          </w:p>
        </w:tc>
        <w:tc>
          <w:tcPr>
            <w:tcW w:w="3969" w:type="dxa"/>
            <w:vAlign w:val="center"/>
            <w:hideMark/>
          </w:tcPr>
          <w:p w14:paraId="3F4F58EB" w14:textId="35ECCA4A" w:rsidR="00353AF2" w:rsidRPr="009D5569" w:rsidRDefault="00353AF2" w:rsidP="00DD6A51">
            <w:pPr>
              <w:spacing w:before="100" w:beforeAutospacing="1" w:after="0" w:line="360" w:lineRule="auto"/>
              <w:rPr>
                <w:rFonts w:cs="Times New Roman"/>
                <w:color w:val="000000"/>
                <w:sz w:val="26"/>
                <w:szCs w:val="26"/>
              </w:rPr>
            </w:pPr>
            <w:r w:rsidRPr="009D5569">
              <w:rPr>
                <w:rFonts w:cs="Times New Roman"/>
                <w:color w:val="000000"/>
                <w:sz w:val="26"/>
                <w:szCs w:val="26"/>
              </w:rPr>
              <w:t>+ Khớp cổ chân hay giữa bàn chân</w:t>
            </w:r>
          </w:p>
        </w:tc>
        <w:tc>
          <w:tcPr>
            <w:tcW w:w="1275" w:type="dxa"/>
            <w:gridSpan w:val="2"/>
            <w:vAlign w:val="center"/>
            <w:hideMark/>
          </w:tcPr>
          <w:p w14:paraId="621309BC" w14:textId="77777777" w:rsidR="00353AF2" w:rsidRPr="009D5569" w:rsidRDefault="00353AF2" w:rsidP="00DD6A51">
            <w:pPr>
              <w:spacing w:before="100" w:beforeAutospacing="1" w:after="0" w:line="360" w:lineRule="auto"/>
              <w:jc w:val="center"/>
              <w:rPr>
                <w:rFonts w:cs="Times New Roman"/>
                <w:color w:val="000000"/>
                <w:sz w:val="26"/>
                <w:szCs w:val="26"/>
              </w:rPr>
            </w:pPr>
            <w:r w:rsidRPr="009D5569">
              <w:rPr>
                <w:rFonts w:cs="Times New Roman"/>
                <w:color w:val="000000"/>
                <w:sz w:val="26"/>
                <w:szCs w:val="26"/>
              </w:rPr>
              <w:t>1</w:t>
            </w:r>
          </w:p>
          <w:p w14:paraId="0F694D63" w14:textId="77777777" w:rsidR="00353AF2" w:rsidRPr="009D5569" w:rsidRDefault="00353AF2" w:rsidP="00DD6A51">
            <w:pPr>
              <w:spacing w:before="100" w:beforeAutospacing="1" w:after="0" w:line="360" w:lineRule="auto"/>
              <w:jc w:val="center"/>
              <w:rPr>
                <w:rFonts w:cs="Times New Roman"/>
                <w:color w:val="000000"/>
                <w:sz w:val="26"/>
                <w:szCs w:val="26"/>
              </w:rPr>
            </w:pPr>
          </w:p>
        </w:tc>
      </w:tr>
      <w:tr w:rsidR="00353AF2" w:rsidRPr="009D5569" w14:paraId="65CA0F99" w14:textId="77777777" w:rsidTr="00101DBA">
        <w:trPr>
          <w:gridAfter w:val="1"/>
          <w:wAfter w:w="215" w:type="dxa"/>
          <w:trHeight w:val="388"/>
          <w:tblCellSpacing w:w="0" w:type="dxa"/>
        </w:trPr>
        <w:tc>
          <w:tcPr>
            <w:tcW w:w="4390" w:type="dxa"/>
            <w:vMerge/>
            <w:vAlign w:val="center"/>
          </w:tcPr>
          <w:p w14:paraId="5656CB13" w14:textId="77777777" w:rsidR="00353AF2" w:rsidRPr="009D5569" w:rsidRDefault="00353AF2" w:rsidP="00DD6A51">
            <w:pPr>
              <w:spacing w:before="100" w:beforeAutospacing="1" w:after="0" w:line="360" w:lineRule="auto"/>
              <w:rPr>
                <w:rFonts w:cs="Times New Roman"/>
                <w:color w:val="000000"/>
                <w:sz w:val="26"/>
                <w:szCs w:val="26"/>
              </w:rPr>
            </w:pPr>
          </w:p>
        </w:tc>
        <w:tc>
          <w:tcPr>
            <w:tcW w:w="3969" w:type="dxa"/>
            <w:vAlign w:val="center"/>
          </w:tcPr>
          <w:p w14:paraId="5AB9715E" w14:textId="77777777" w:rsidR="00353AF2" w:rsidRPr="009D5569" w:rsidRDefault="00353AF2" w:rsidP="00DD6A51">
            <w:pPr>
              <w:spacing w:before="100" w:beforeAutospacing="1" w:after="0" w:line="360" w:lineRule="auto"/>
              <w:rPr>
                <w:rFonts w:cs="Times New Roman"/>
                <w:color w:val="000000"/>
                <w:sz w:val="26"/>
                <w:szCs w:val="26"/>
              </w:rPr>
            </w:pPr>
            <w:r w:rsidRPr="009D5569">
              <w:rPr>
                <w:rFonts w:cs="Times New Roman"/>
                <w:color w:val="000000"/>
                <w:sz w:val="26"/>
                <w:szCs w:val="26"/>
              </w:rPr>
              <w:t>+ Khớp bàn ngón chân cái</w:t>
            </w:r>
          </w:p>
        </w:tc>
        <w:tc>
          <w:tcPr>
            <w:tcW w:w="1275" w:type="dxa"/>
            <w:gridSpan w:val="2"/>
            <w:vAlign w:val="center"/>
          </w:tcPr>
          <w:p w14:paraId="173EF858" w14:textId="77777777" w:rsidR="00353AF2" w:rsidRPr="009D5569" w:rsidRDefault="00353AF2" w:rsidP="00DD6A51">
            <w:pPr>
              <w:spacing w:before="100" w:beforeAutospacing="1" w:after="0" w:line="360" w:lineRule="auto"/>
              <w:jc w:val="center"/>
              <w:rPr>
                <w:rFonts w:cs="Times New Roman"/>
                <w:color w:val="000000"/>
                <w:sz w:val="26"/>
                <w:szCs w:val="26"/>
              </w:rPr>
            </w:pPr>
            <w:r w:rsidRPr="009D5569">
              <w:rPr>
                <w:rFonts w:cs="Times New Roman"/>
                <w:color w:val="000000"/>
                <w:sz w:val="26"/>
                <w:szCs w:val="26"/>
              </w:rPr>
              <w:t>2</w:t>
            </w:r>
          </w:p>
        </w:tc>
      </w:tr>
      <w:tr w:rsidR="00353AF2" w:rsidRPr="009D5569" w14:paraId="50CD293F" w14:textId="77777777" w:rsidTr="001A6B73">
        <w:trPr>
          <w:gridAfter w:val="1"/>
          <w:wAfter w:w="215" w:type="dxa"/>
          <w:trHeight w:val="610"/>
          <w:tblCellSpacing w:w="0" w:type="dxa"/>
        </w:trPr>
        <w:tc>
          <w:tcPr>
            <w:tcW w:w="4390" w:type="dxa"/>
            <w:vMerge w:val="restart"/>
            <w:vAlign w:val="center"/>
            <w:hideMark/>
          </w:tcPr>
          <w:p w14:paraId="13C5534D" w14:textId="77777777" w:rsidR="00353AF2" w:rsidRPr="009D5569" w:rsidRDefault="00353AF2" w:rsidP="00DD6A51">
            <w:pPr>
              <w:spacing w:after="0" w:line="360" w:lineRule="auto"/>
              <w:rPr>
                <w:rFonts w:cs="Times New Roman"/>
                <w:color w:val="000000"/>
                <w:sz w:val="26"/>
                <w:szCs w:val="26"/>
              </w:rPr>
            </w:pPr>
            <w:r w:rsidRPr="009D5569">
              <w:rPr>
                <w:rFonts w:cs="Times New Roman"/>
                <w:color w:val="000000"/>
                <w:sz w:val="26"/>
                <w:szCs w:val="26"/>
              </w:rPr>
              <w:t>2. Tính chất đợt viêm cấp</w:t>
            </w:r>
          </w:p>
          <w:p w14:paraId="141967F9" w14:textId="77777777" w:rsidR="00353AF2" w:rsidRPr="009D5569" w:rsidRDefault="00353AF2" w:rsidP="00DD6A51">
            <w:pPr>
              <w:spacing w:after="0" w:line="360" w:lineRule="auto"/>
              <w:rPr>
                <w:rFonts w:cs="Times New Roman"/>
                <w:color w:val="000000"/>
                <w:sz w:val="26"/>
                <w:szCs w:val="26"/>
              </w:rPr>
            </w:pPr>
            <w:r w:rsidRPr="009D5569">
              <w:rPr>
                <w:rFonts w:cs="Times New Roman"/>
                <w:color w:val="000000"/>
                <w:sz w:val="26"/>
                <w:szCs w:val="26"/>
              </w:rPr>
              <w:t>- Đỏ khớp</w:t>
            </w:r>
          </w:p>
          <w:p w14:paraId="2DB67B5F" w14:textId="1557EFF7" w:rsidR="00353AF2" w:rsidRPr="009D5569" w:rsidRDefault="00353AF2" w:rsidP="00DD6A51">
            <w:pPr>
              <w:spacing w:after="0" w:line="360" w:lineRule="auto"/>
              <w:rPr>
                <w:rFonts w:cs="Times New Roman"/>
                <w:color w:val="000000"/>
                <w:sz w:val="26"/>
                <w:szCs w:val="26"/>
              </w:rPr>
            </w:pPr>
            <w:r w:rsidRPr="009D5569">
              <w:rPr>
                <w:rFonts w:cs="Times New Roman"/>
                <w:color w:val="000000"/>
                <w:sz w:val="26"/>
                <w:szCs w:val="26"/>
              </w:rPr>
              <w:t>- Rất đau</w:t>
            </w:r>
            <w:r w:rsidR="00101DBA">
              <w:rPr>
                <w:rFonts w:cs="Times New Roman"/>
                <w:color w:val="000000"/>
                <w:sz w:val="26"/>
                <w:szCs w:val="26"/>
              </w:rPr>
              <w:t xml:space="preserve"> </w:t>
            </w:r>
            <w:r w:rsidRPr="009D5569">
              <w:rPr>
                <w:rFonts w:cs="Times New Roman"/>
                <w:color w:val="000000"/>
                <w:sz w:val="26"/>
                <w:szCs w:val="26"/>
              </w:rPr>
              <w:t>khi thay đổi lực ép hoặc sờ vào khớp viêm</w:t>
            </w:r>
          </w:p>
          <w:p w14:paraId="4CA7C307" w14:textId="77777777" w:rsidR="00353AF2" w:rsidRPr="009D5569" w:rsidRDefault="00353AF2" w:rsidP="00DD6A51">
            <w:pPr>
              <w:spacing w:after="0" w:line="360" w:lineRule="auto"/>
              <w:rPr>
                <w:rFonts w:cs="Times New Roman"/>
                <w:color w:val="000000"/>
                <w:sz w:val="26"/>
                <w:szCs w:val="26"/>
              </w:rPr>
            </w:pPr>
            <w:r w:rsidRPr="009D5569">
              <w:rPr>
                <w:rFonts w:cs="Times New Roman"/>
                <w:color w:val="000000"/>
                <w:sz w:val="26"/>
                <w:szCs w:val="26"/>
              </w:rPr>
              <w:t>- Khó khăn khi đi lại hay vận động khớp</w:t>
            </w:r>
          </w:p>
        </w:tc>
        <w:tc>
          <w:tcPr>
            <w:tcW w:w="3969" w:type="dxa"/>
            <w:vAlign w:val="center"/>
            <w:hideMark/>
          </w:tcPr>
          <w:p w14:paraId="6292B012" w14:textId="64DFEF14" w:rsidR="00353AF2" w:rsidRPr="00D5611B" w:rsidRDefault="00353AF2" w:rsidP="00DD6A51">
            <w:pPr>
              <w:pStyle w:val="ListParagraph"/>
              <w:numPr>
                <w:ilvl w:val="0"/>
                <w:numId w:val="14"/>
              </w:numPr>
              <w:spacing w:after="0" w:line="360" w:lineRule="auto"/>
              <w:contextualSpacing w:val="0"/>
              <w:jc w:val="both"/>
              <w:rPr>
                <w:rFonts w:cs="Times New Roman"/>
                <w:color w:val="000000"/>
                <w:sz w:val="26"/>
                <w:szCs w:val="26"/>
              </w:rPr>
            </w:pPr>
            <w:r w:rsidRPr="009D5569">
              <w:rPr>
                <w:rFonts w:cs="Times New Roman"/>
                <w:color w:val="000000"/>
                <w:sz w:val="26"/>
                <w:szCs w:val="26"/>
              </w:rPr>
              <w:t>1/3 tính chất</w:t>
            </w:r>
          </w:p>
        </w:tc>
        <w:tc>
          <w:tcPr>
            <w:tcW w:w="1275" w:type="dxa"/>
            <w:gridSpan w:val="2"/>
            <w:vAlign w:val="center"/>
            <w:hideMark/>
          </w:tcPr>
          <w:p w14:paraId="4265A73A" w14:textId="77777777" w:rsidR="00353AF2" w:rsidRPr="009D5569" w:rsidRDefault="00353AF2" w:rsidP="00DD6A51">
            <w:pPr>
              <w:spacing w:after="0" w:line="360" w:lineRule="auto"/>
              <w:jc w:val="center"/>
              <w:rPr>
                <w:rFonts w:cs="Times New Roman"/>
                <w:color w:val="000000"/>
                <w:sz w:val="26"/>
                <w:szCs w:val="26"/>
              </w:rPr>
            </w:pPr>
            <w:r w:rsidRPr="009D5569">
              <w:rPr>
                <w:rFonts w:cs="Times New Roman"/>
                <w:color w:val="000000"/>
                <w:sz w:val="26"/>
                <w:szCs w:val="26"/>
              </w:rPr>
              <w:t>1</w:t>
            </w:r>
          </w:p>
        </w:tc>
      </w:tr>
      <w:tr w:rsidR="00353AF2" w:rsidRPr="009D5569" w14:paraId="3904C1E6" w14:textId="77777777" w:rsidTr="00101DBA">
        <w:trPr>
          <w:gridAfter w:val="1"/>
          <w:wAfter w:w="215" w:type="dxa"/>
          <w:trHeight w:val="971"/>
          <w:tblCellSpacing w:w="0" w:type="dxa"/>
        </w:trPr>
        <w:tc>
          <w:tcPr>
            <w:tcW w:w="4390" w:type="dxa"/>
            <w:vMerge/>
            <w:vAlign w:val="center"/>
          </w:tcPr>
          <w:p w14:paraId="69B4332C" w14:textId="77777777" w:rsidR="00353AF2" w:rsidRPr="009D5569" w:rsidRDefault="00353AF2" w:rsidP="00DD6A51">
            <w:pPr>
              <w:spacing w:after="0" w:line="360" w:lineRule="auto"/>
              <w:rPr>
                <w:rFonts w:cs="Times New Roman"/>
                <w:color w:val="000000"/>
                <w:sz w:val="26"/>
                <w:szCs w:val="26"/>
              </w:rPr>
            </w:pPr>
          </w:p>
        </w:tc>
        <w:tc>
          <w:tcPr>
            <w:tcW w:w="3969" w:type="dxa"/>
            <w:vAlign w:val="center"/>
          </w:tcPr>
          <w:p w14:paraId="51FFE38F" w14:textId="7502419C" w:rsidR="00353AF2" w:rsidRPr="00D5611B" w:rsidRDefault="00353AF2" w:rsidP="00DD6A51">
            <w:pPr>
              <w:pStyle w:val="ListParagraph"/>
              <w:numPr>
                <w:ilvl w:val="0"/>
                <w:numId w:val="14"/>
              </w:numPr>
              <w:spacing w:after="0" w:line="360" w:lineRule="auto"/>
              <w:contextualSpacing w:val="0"/>
              <w:jc w:val="both"/>
              <w:rPr>
                <w:rFonts w:cs="Times New Roman"/>
                <w:color w:val="000000"/>
                <w:sz w:val="26"/>
                <w:szCs w:val="26"/>
              </w:rPr>
            </w:pPr>
            <w:r w:rsidRPr="009D5569">
              <w:rPr>
                <w:rFonts w:cs="Times New Roman"/>
                <w:color w:val="000000"/>
                <w:sz w:val="26"/>
                <w:szCs w:val="26"/>
              </w:rPr>
              <w:t>2/3 tính chất</w:t>
            </w:r>
          </w:p>
        </w:tc>
        <w:tc>
          <w:tcPr>
            <w:tcW w:w="1275" w:type="dxa"/>
            <w:gridSpan w:val="2"/>
            <w:vAlign w:val="center"/>
          </w:tcPr>
          <w:p w14:paraId="60C9CE86" w14:textId="77777777" w:rsidR="00353AF2" w:rsidRPr="009D5569" w:rsidRDefault="00353AF2" w:rsidP="00DD6A51">
            <w:pPr>
              <w:spacing w:after="0" w:line="360" w:lineRule="auto"/>
              <w:jc w:val="center"/>
              <w:rPr>
                <w:rFonts w:cs="Times New Roman"/>
                <w:color w:val="000000"/>
                <w:sz w:val="26"/>
                <w:szCs w:val="26"/>
              </w:rPr>
            </w:pPr>
            <w:r w:rsidRPr="009D5569">
              <w:rPr>
                <w:rFonts w:cs="Times New Roman"/>
                <w:color w:val="000000"/>
                <w:sz w:val="26"/>
                <w:szCs w:val="26"/>
              </w:rPr>
              <w:t>2</w:t>
            </w:r>
          </w:p>
        </w:tc>
      </w:tr>
      <w:tr w:rsidR="00353AF2" w:rsidRPr="009D5569" w14:paraId="7B6CD05D" w14:textId="77777777" w:rsidTr="00101DBA">
        <w:trPr>
          <w:gridAfter w:val="1"/>
          <w:wAfter w:w="215" w:type="dxa"/>
          <w:trHeight w:val="819"/>
          <w:tblCellSpacing w:w="0" w:type="dxa"/>
        </w:trPr>
        <w:tc>
          <w:tcPr>
            <w:tcW w:w="4390" w:type="dxa"/>
            <w:vMerge/>
            <w:vAlign w:val="center"/>
          </w:tcPr>
          <w:p w14:paraId="068F5885" w14:textId="77777777" w:rsidR="00353AF2" w:rsidRPr="009D5569" w:rsidRDefault="00353AF2" w:rsidP="00DD6A51">
            <w:pPr>
              <w:spacing w:after="0" w:line="360" w:lineRule="auto"/>
              <w:rPr>
                <w:rFonts w:cs="Times New Roman"/>
                <w:color w:val="000000"/>
                <w:sz w:val="26"/>
                <w:szCs w:val="26"/>
              </w:rPr>
            </w:pPr>
          </w:p>
        </w:tc>
        <w:tc>
          <w:tcPr>
            <w:tcW w:w="3969" w:type="dxa"/>
            <w:vAlign w:val="center"/>
          </w:tcPr>
          <w:p w14:paraId="44439020" w14:textId="77777777" w:rsidR="00353AF2" w:rsidRPr="009D5569" w:rsidRDefault="00353AF2" w:rsidP="00DD6A51">
            <w:pPr>
              <w:pStyle w:val="ListParagraph"/>
              <w:widowControl w:val="0"/>
              <w:numPr>
                <w:ilvl w:val="0"/>
                <w:numId w:val="14"/>
              </w:numPr>
              <w:autoSpaceDE w:val="0"/>
              <w:autoSpaceDN w:val="0"/>
              <w:spacing w:after="0" w:line="360" w:lineRule="auto"/>
              <w:contextualSpacing w:val="0"/>
              <w:jc w:val="both"/>
              <w:rPr>
                <w:rFonts w:cs="Times New Roman"/>
                <w:color w:val="000000"/>
                <w:sz w:val="26"/>
                <w:szCs w:val="26"/>
              </w:rPr>
            </w:pPr>
            <w:r w:rsidRPr="009D5569">
              <w:rPr>
                <w:rFonts w:cs="Times New Roman"/>
                <w:color w:val="000000"/>
                <w:sz w:val="26"/>
                <w:szCs w:val="26"/>
              </w:rPr>
              <w:t>3/3 tính chất</w:t>
            </w:r>
          </w:p>
        </w:tc>
        <w:tc>
          <w:tcPr>
            <w:tcW w:w="1275" w:type="dxa"/>
            <w:gridSpan w:val="2"/>
            <w:vAlign w:val="center"/>
          </w:tcPr>
          <w:p w14:paraId="6EFD0319" w14:textId="77777777" w:rsidR="00353AF2" w:rsidRPr="009D5569" w:rsidRDefault="00353AF2" w:rsidP="00DD6A51">
            <w:pPr>
              <w:spacing w:after="0" w:line="360" w:lineRule="auto"/>
              <w:jc w:val="center"/>
              <w:rPr>
                <w:rFonts w:cs="Times New Roman"/>
                <w:color w:val="000000"/>
                <w:sz w:val="26"/>
                <w:szCs w:val="26"/>
              </w:rPr>
            </w:pPr>
            <w:r w:rsidRPr="009D5569">
              <w:rPr>
                <w:rFonts w:cs="Times New Roman"/>
                <w:color w:val="000000"/>
                <w:sz w:val="26"/>
                <w:szCs w:val="26"/>
              </w:rPr>
              <w:t>3</w:t>
            </w:r>
          </w:p>
        </w:tc>
      </w:tr>
      <w:tr w:rsidR="00353AF2" w:rsidRPr="009D5569" w14:paraId="789CE1AF" w14:textId="77777777" w:rsidTr="00101DBA">
        <w:trPr>
          <w:gridAfter w:val="1"/>
          <w:wAfter w:w="215" w:type="dxa"/>
          <w:trHeight w:val="1267"/>
          <w:tblCellSpacing w:w="0" w:type="dxa"/>
        </w:trPr>
        <w:tc>
          <w:tcPr>
            <w:tcW w:w="4390" w:type="dxa"/>
            <w:vMerge w:val="restart"/>
            <w:vAlign w:val="center"/>
            <w:hideMark/>
          </w:tcPr>
          <w:p w14:paraId="18826A69" w14:textId="5A78B42F" w:rsidR="00353AF2" w:rsidRPr="009D5569" w:rsidRDefault="00353AF2" w:rsidP="00DD6A51">
            <w:pPr>
              <w:spacing w:after="0" w:line="360" w:lineRule="auto"/>
              <w:rPr>
                <w:rFonts w:cs="Times New Roman"/>
                <w:color w:val="000000"/>
                <w:sz w:val="26"/>
                <w:szCs w:val="26"/>
              </w:rPr>
            </w:pPr>
            <w:r w:rsidRPr="009D5569">
              <w:rPr>
                <w:rFonts w:cs="Times New Roman"/>
                <w:color w:val="000000"/>
                <w:sz w:val="26"/>
                <w:szCs w:val="26"/>
              </w:rPr>
              <w:t>3. Đặc điểm thời gian (có ≥ 2 đợt đau cấp, không sử dụng thuốc</w:t>
            </w:r>
            <w:r w:rsidR="00101DBA">
              <w:rPr>
                <w:rFonts w:cs="Times New Roman"/>
                <w:color w:val="000000"/>
                <w:sz w:val="26"/>
                <w:szCs w:val="26"/>
              </w:rPr>
              <w:t xml:space="preserve"> </w:t>
            </w:r>
            <w:r w:rsidRPr="009D5569">
              <w:rPr>
                <w:rFonts w:cs="Times New Roman"/>
                <w:color w:val="000000"/>
                <w:sz w:val="26"/>
                <w:szCs w:val="26"/>
              </w:rPr>
              <w:t>kháng viêm):</w:t>
            </w:r>
          </w:p>
          <w:p w14:paraId="5E3903E7" w14:textId="77777777" w:rsidR="00353AF2" w:rsidRPr="009D5569" w:rsidRDefault="00353AF2" w:rsidP="00DD6A51">
            <w:pPr>
              <w:spacing w:after="0" w:line="360" w:lineRule="auto"/>
              <w:rPr>
                <w:rFonts w:cs="Times New Roman"/>
                <w:color w:val="000000"/>
                <w:sz w:val="26"/>
                <w:szCs w:val="26"/>
              </w:rPr>
            </w:pPr>
            <w:r w:rsidRPr="009D5569">
              <w:rPr>
                <w:rFonts w:cs="Times New Roman"/>
                <w:color w:val="000000"/>
                <w:sz w:val="26"/>
                <w:szCs w:val="26"/>
              </w:rPr>
              <w:t>- Thời gian đau tối đa &lt; 24h</w:t>
            </w:r>
          </w:p>
          <w:p w14:paraId="4C5792E1" w14:textId="77777777" w:rsidR="00353AF2" w:rsidRPr="009D5569" w:rsidRDefault="00353AF2" w:rsidP="00DD6A51">
            <w:pPr>
              <w:spacing w:after="0" w:line="360" w:lineRule="auto"/>
              <w:rPr>
                <w:rFonts w:cs="Times New Roman"/>
                <w:color w:val="000000"/>
                <w:sz w:val="26"/>
                <w:szCs w:val="26"/>
              </w:rPr>
            </w:pPr>
            <w:r w:rsidRPr="009D5569">
              <w:rPr>
                <w:rFonts w:cs="Times New Roman"/>
                <w:color w:val="000000"/>
                <w:sz w:val="26"/>
                <w:szCs w:val="26"/>
              </w:rPr>
              <w:t>- Khỏi triệu chứng đau ≤ 14 ngày</w:t>
            </w:r>
          </w:p>
          <w:p w14:paraId="56AA9309" w14:textId="77777777" w:rsidR="00353AF2" w:rsidRPr="009D5569" w:rsidRDefault="00353AF2" w:rsidP="00DD6A51">
            <w:pPr>
              <w:spacing w:after="0" w:line="360" w:lineRule="auto"/>
              <w:rPr>
                <w:rFonts w:cs="Times New Roman"/>
                <w:color w:val="000000"/>
                <w:sz w:val="26"/>
                <w:szCs w:val="26"/>
              </w:rPr>
            </w:pPr>
            <w:r w:rsidRPr="009D5569">
              <w:rPr>
                <w:rFonts w:cs="Times New Roman"/>
                <w:color w:val="000000"/>
                <w:sz w:val="26"/>
                <w:szCs w:val="26"/>
              </w:rPr>
              <w:t>- Khỏi hoàn toàn giữa các đợt cấp</w:t>
            </w:r>
          </w:p>
        </w:tc>
        <w:tc>
          <w:tcPr>
            <w:tcW w:w="3969" w:type="dxa"/>
            <w:tcBorders>
              <w:bottom w:val="single" w:sz="4" w:space="0" w:color="auto"/>
            </w:tcBorders>
            <w:vAlign w:val="center"/>
            <w:hideMark/>
          </w:tcPr>
          <w:p w14:paraId="68D79D2E" w14:textId="77777777" w:rsidR="00353AF2" w:rsidRPr="009D5569" w:rsidRDefault="00353AF2" w:rsidP="00DD6A51">
            <w:pPr>
              <w:pStyle w:val="ListParagraph"/>
              <w:numPr>
                <w:ilvl w:val="0"/>
                <w:numId w:val="14"/>
              </w:numPr>
              <w:spacing w:after="0" w:line="360" w:lineRule="auto"/>
              <w:contextualSpacing w:val="0"/>
              <w:rPr>
                <w:rFonts w:cs="Times New Roman"/>
                <w:color w:val="000000"/>
                <w:sz w:val="26"/>
                <w:szCs w:val="26"/>
              </w:rPr>
            </w:pPr>
            <w:r w:rsidRPr="009D5569">
              <w:rPr>
                <w:rFonts w:cs="Times New Roman"/>
                <w:color w:val="000000"/>
                <w:sz w:val="26"/>
                <w:szCs w:val="26"/>
              </w:rPr>
              <w:t>1 đợt điển hình</w:t>
            </w:r>
          </w:p>
          <w:p w14:paraId="32B5D08B" w14:textId="77777777" w:rsidR="00353AF2" w:rsidRPr="009D5569" w:rsidRDefault="00353AF2" w:rsidP="00DD6A51">
            <w:pPr>
              <w:spacing w:after="0" w:line="360" w:lineRule="auto"/>
              <w:rPr>
                <w:rFonts w:cs="Times New Roman"/>
                <w:color w:val="000000"/>
                <w:sz w:val="26"/>
                <w:szCs w:val="26"/>
              </w:rPr>
            </w:pPr>
          </w:p>
        </w:tc>
        <w:tc>
          <w:tcPr>
            <w:tcW w:w="1275" w:type="dxa"/>
            <w:gridSpan w:val="2"/>
            <w:tcBorders>
              <w:bottom w:val="single" w:sz="4" w:space="0" w:color="auto"/>
            </w:tcBorders>
            <w:vAlign w:val="center"/>
            <w:hideMark/>
          </w:tcPr>
          <w:p w14:paraId="2F15F676" w14:textId="5A7FEB77" w:rsidR="00353AF2" w:rsidRPr="009D5569" w:rsidRDefault="00353AF2" w:rsidP="00DD6A51">
            <w:pPr>
              <w:spacing w:after="0" w:line="360" w:lineRule="auto"/>
              <w:jc w:val="center"/>
              <w:rPr>
                <w:rFonts w:cs="Times New Roman"/>
                <w:color w:val="000000"/>
                <w:sz w:val="26"/>
                <w:szCs w:val="26"/>
              </w:rPr>
            </w:pPr>
            <w:r w:rsidRPr="009D5569">
              <w:rPr>
                <w:rFonts w:cs="Times New Roman"/>
                <w:color w:val="000000"/>
                <w:sz w:val="26"/>
                <w:szCs w:val="26"/>
              </w:rPr>
              <w:t>1</w:t>
            </w:r>
          </w:p>
        </w:tc>
      </w:tr>
      <w:tr w:rsidR="00353AF2" w:rsidRPr="009D5569" w14:paraId="56D42CF1" w14:textId="77777777" w:rsidTr="00101DBA">
        <w:trPr>
          <w:gridAfter w:val="1"/>
          <w:wAfter w:w="215" w:type="dxa"/>
          <w:trHeight w:val="210"/>
          <w:tblCellSpacing w:w="0" w:type="dxa"/>
        </w:trPr>
        <w:tc>
          <w:tcPr>
            <w:tcW w:w="4390" w:type="dxa"/>
            <w:vMerge/>
            <w:vAlign w:val="center"/>
          </w:tcPr>
          <w:p w14:paraId="358AE817" w14:textId="77777777" w:rsidR="00353AF2" w:rsidRPr="009D5569" w:rsidRDefault="00353AF2" w:rsidP="00DD6A51">
            <w:pPr>
              <w:spacing w:after="0" w:line="360" w:lineRule="auto"/>
              <w:rPr>
                <w:rFonts w:cs="Times New Roman"/>
                <w:color w:val="000000"/>
                <w:sz w:val="26"/>
                <w:szCs w:val="26"/>
              </w:rPr>
            </w:pPr>
          </w:p>
        </w:tc>
        <w:tc>
          <w:tcPr>
            <w:tcW w:w="3969" w:type="dxa"/>
            <w:tcBorders>
              <w:top w:val="single" w:sz="4" w:space="0" w:color="auto"/>
            </w:tcBorders>
            <w:vAlign w:val="center"/>
          </w:tcPr>
          <w:p w14:paraId="148D87A3" w14:textId="1AF0F8CF" w:rsidR="00353AF2" w:rsidRPr="00101DBA" w:rsidRDefault="00353AF2" w:rsidP="00DD6A51">
            <w:pPr>
              <w:pStyle w:val="ListParagraph"/>
              <w:numPr>
                <w:ilvl w:val="0"/>
                <w:numId w:val="13"/>
              </w:numPr>
              <w:spacing w:after="0" w:line="360" w:lineRule="auto"/>
              <w:contextualSpacing w:val="0"/>
              <w:rPr>
                <w:rFonts w:cs="Times New Roman"/>
                <w:color w:val="000000"/>
                <w:sz w:val="26"/>
                <w:szCs w:val="26"/>
              </w:rPr>
            </w:pPr>
            <w:r w:rsidRPr="009D5569">
              <w:rPr>
                <w:rFonts w:cs="Times New Roman"/>
                <w:color w:val="000000"/>
                <w:sz w:val="26"/>
                <w:szCs w:val="26"/>
              </w:rPr>
              <w:t>Nhiều đợt tái phát điển hình</w:t>
            </w:r>
          </w:p>
        </w:tc>
        <w:tc>
          <w:tcPr>
            <w:tcW w:w="1275" w:type="dxa"/>
            <w:gridSpan w:val="2"/>
            <w:tcBorders>
              <w:top w:val="single" w:sz="4" w:space="0" w:color="auto"/>
            </w:tcBorders>
            <w:vAlign w:val="center"/>
          </w:tcPr>
          <w:p w14:paraId="1499440C" w14:textId="77777777" w:rsidR="00353AF2" w:rsidRPr="009D5569" w:rsidRDefault="00353AF2" w:rsidP="00DD6A51">
            <w:pPr>
              <w:spacing w:after="0" w:line="360" w:lineRule="auto"/>
              <w:jc w:val="center"/>
              <w:rPr>
                <w:rFonts w:cs="Times New Roman"/>
                <w:color w:val="000000"/>
                <w:sz w:val="26"/>
                <w:szCs w:val="26"/>
              </w:rPr>
            </w:pPr>
            <w:r w:rsidRPr="009D5569">
              <w:rPr>
                <w:rFonts w:cs="Times New Roman"/>
                <w:color w:val="000000"/>
                <w:sz w:val="26"/>
                <w:szCs w:val="26"/>
              </w:rPr>
              <w:t>2</w:t>
            </w:r>
          </w:p>
        </w:tc>
      </w:tr>
      <w:tr w:rsidR="00353AF2" w:rsidRPr="009D5569" w14:paraId="22950EBB" w14:textId="77777777" w:rsidTr="00101DBA">
        <w:trPr>
          <w:gridAfter w:val="1"/>
          <w:wAfter w:w="215" w:type="dxa"/>
          <w:trHeight w:val="208"/>
          <w:tblCellSpacing w:w="0" w:type="dxa"/>
        </w:trPr>
        <w:tc>
          <w:tcPr>
            <w:tcW w:w="4390" w:type="dxa"/>
            <w:vMerge w:val="restart"/>
            <w:vAlign w:val="center"/>
            <w:hideMark/>
          </w:tcPr>
          <w:p w14:paraId="24CCF650" w14:textId="77777777" w:rsidR="00353AF2" w:rsidRPr="009D5569" w:rsidRDefault="00353AF2" w:rsidP="00DD6A51">
            <w:pPr>
              <w:spacing w:before="100" w:beforeAutospacing="1" w:after="0" w:line="360" w:lineRule="auto"/>
              <w:rPr>
                <w:rFonts w:cs="Times New Roman"/>
                <w:color w:val="000000"/>
                <w:sz w:val="26"/>
                <w:szCs w:val="26"/>
              </w:rPr>
            </w:pPr>
            <w:r w:rsidRPr="009D5569">
              <w:rPr>
                <w:rFonts w:cs="Times New Roman"/>
                <w:color w:val="000000"/>
                <w:sz w:val="26"/>
                <w:szCs w:val="26"/>
              </w:rPr>
              <w:t>4. Hạt tophi</w:t>
            </w:r>
          </w:p>
        </w:tc>
        <w:tc>
          <w:tcPr>
            <w:tcW w:w="3969" w:type="dxa"/>
            <w:tcBorders>
              <w:bottom w:val="single" w:sz="4" w:space="0" w:color="auto"/>
            </w:tcBorders>
            <w:vAlign w:val="center"/>
            <w:hideMark/>
          </w:tcPr>
          <w:p w14:paraId="66122FF4" w14:textId="77777777" w:rsidR="00353AF2" w:rsidRPr="009D5569" w:rsidRDefault="00353AF2" w:rsidP="00DD6A51">
            <w:pPr>
              <w:pStyle w:val="ListParagraph"/>
              <w:numPr>
                <w:ilvl w:val="0"/>
                <w:numId w:val="13"/>
              </w:numPr>
              <w:spacing w:after="0" w:line="360" w:lineRule="auto"/>
              <w:contextualSpacing w:val="0"/>
              <w:rPr>
                <w:rFonts w:cs="Times New Roman"/>
                <w:color w:val="000000"/>
                <w:sz w:val="26"/>
                <w:szCs w:val="26"/>
              </w:rPr>
            </w:pPr>
            <w:r w:rsidRPr="009D5569">
              <w:rPr>
                <w:rFonts w:cs="Times New Roman"/>
                <w:color w:val="000000"/>
                <w:sz w:val="26"/>
                <w:szCs w:val="26"/>
              </w:rPr>
              <w:t>Không</w:t>
            </w:r>
          </w:p>
          <w:p w14:paraId="62C69C20" w14:textId="77777777" w:rsidR="00353AF2" w:rsidRPr="009D5569" w:rsidRDefault="00353AF2" w:rsidP="00DD6A51">
            <w:pPr>
              <w:spacing w:after="0" w:line="360" w:lineRule="auto"/>
              <w:rPr>
                <w:rFonts w:cs="Times New Roman"/>
                <w:color w:val="000000"/>
                <w:sz w:val="26"/>
                <w:szCs w:val="26"/>
              </w:rPr>
            </w:pPr>
          </w:p>
        </w:tc>
        <w:tc>
          <w:tcPr>
            <w:tcW w:w="1275" w:type="dxa"/>
            <w:gridSpan w:val="2"/>
            <w:tcBorders>
              <w:bottom w:val="single" w:sz="4" w:space="0" w:color="auto"/>
            </w:tcBorders>
            <w:vAlign w:val="center"/>
            <w:hideMark/>
          </w:tcPr>
          <w:p w14:paraId="78605475" w14:textId="77777777" w:rsidR="00353AF2" w:rsidRPr="009D5569" w:rsidRDefault="00353AF2" w:rsidP="00DD6A51">
            <w:pPr>
              <w:spacing w:before="100" w:beforeAutospacing="1" w:after="0" w:line="360" w:lineRule="auto"/>
              <w:jc w:val="center"/>
              <w:rPr>
                <w:rFonts w:cs="Times New Roman"/>
                <w:color w:val="000000"/>
                <w:sz w:val="26"/>
                <w:szCs w:val="26"/>
              </w:rPr>
            </w:pPr>
            <w:r w:rsidRPr="009D5569">
              <w:rPr>
                <w:rFonts w:cs="Times New Roman"/>
                <w:color w:val="000000"/>
                <w:sz w:val="26"/>
                <w:szCs w:val="26"/>
              </w:rPr>
              <w:t>0</w:t>
            </w:r>
          </w:p>
        </w:tc>
      </w:tr>
      <w:tr w:rsidR="00353AF2" w:rsidRPr="009D5569" w14:paraId="76CFD8D5" w14:textId="77777777" w:rsidTr="00101DBA">
        <w:trPr>
          <w:gridAfter w:val="1"/>
          <w:wAfter w:w="215" w:type="dxa"/>
          <w:trHeight w:val="300"/>
          <w:tblCellSpacing w:w="0" w:type="dxa"/>
        </w:trPr>
        <w:tc>
          <w:tcPr>
            <w:tcW w:w="4390" w:type="dxa"/>
            <w:vMerge/>
            <w:vAlign w:val="center"/>
          </w:tcPr>
          <w:p w14:paraId="4B62EA15" w14:textId="77777777" w:rsidR="00353AF2" w:rsidRPr="009D5569" w:rsidRDefault="00353AF2" w:rsidP="00DD6A51">
            <w:pPr>
              <w:spacing w:before="100" w:beforeAutospacing="1" w:after="0" w:line="360" w:lineRule="auto"/>
              <w:rPr>
                <w:rFonts w:cs="Times New Roman"/>
                <w:color w:val="000000"/>
                <w:sz w:val="26"/>
                <w:szCs w:val="26"/>
              </w:rPr>
            </w:pPr>
          </w:p>
        </w:tc>
        <w:tc>
          <w:tcPr>
            <w:tcW w:w="3969" w:type="dxa"/>
            <w:tcBorders>
              <w:top w:val="single" w:sz="4" w:space="0" w:color="auto"/>
            </w:tcBorders>
            <w:vAlign w:val="center"/>
          </w:tcPr>
          <w:p w14:paraId="2CBB12C7" w14:textId="77777777" w:rsidR="00353AF2" w:rsidRPr="009D5569" w:rsidRDefault="00353AF2" w:rsidP="00DD6A51">
            <w:pPr>
              <w:pStyle w:val="ListParagraph"/>
              <w:numPr>
                <w:ilvl w:val="0"/>
                <w:numId w:val="13"/>
              </w:numPr>
              <w:spacing w:after="0" w:line="360" w:lineRule="auto"/>
              <w:contextualSpacing w:val="0"/>
              <w:rPr>
                <w:rFonts w:cs="Times New Roman"/>
                <w:color w:val="000000"/>
                <w:sz w:val="26"/>
                <w:szCs w:val="26"/>
              </w:rPr>
            </w:pPr>
            <w:r w:rsidRPr="009D5569">
              <w:rPr>
                <w:rFonts w:cs="Times New Roman"/>
                <w:color w:val="000000"/>
                <w:sz w:val="26"/>
                <w:szCs w:val="26"/>
              </w:rPr>
              <w:t>Có</w:t>
            </w:r>
          </w:p>
        </w:tc>
        <w:tc>
          <w:tcPr>
            <w:tcW w:w="1275" w:type="dxa"/>
            <w:gridSpan w:val="2"/>
            <w:tcBorders>
              <w:top w:val="single" w:sz="4" w:space="0" w:color="auto"/>
            </w:tcBorders>
            <w:vAlign w:val="center"/>
          </w:tcPr>
          <w:p w14:paraId="1FCC2C65" w14:textId="77777777" w:rsidR="00353AF2" w:rsidRPr="009D5569" w:rsidRDefault="00353AF2" w:rsidP="00DD6A51">
            <w:pPr>
              <w:spacing w:before="100" w:beforeAutospacing="1" w:after="0" w:line="360" w:lineRule="auto"/>
              <w:jc w:val="center"/>
              <w:rPr>
                <w:rFonts w:cs="Times New Roman"/>
                <w:color w:val="000000"/>
                <w:sz w:val="26"/>
                <w:szCs w:val="26"/>
              </w:rPr>
            </w:pPr>
            <w:r w:rsidRPr="009D5569">
              <w:rPr>
                <w:rFonts w:cs="Times New Roman"/>
                <w:color w:val="000000"/>
                <w:sz w:val="26"/>
                <w:szCs w:val="26"/>
              </w:rPr>
              <w:t>4</w:t>
            </w:r>
          </w:p>
        </w:tc>
      </w:tr>
      <w:tr w:rsidR="00353AF2" w:rsidRPr="009D5569" w14:paraId="08BA1FFC" w14:textId="77777777" w:rsidTr="00101DBA">
        <w:trPr>
          <w:gridAfter w:val="1"/>
          <w:wAfter w:w="215" w:type="dxa"/>
          <w:tblCellSpacing w:w="0" w:type="dxa"/>
        </w:trPr>
        <w:tc>
          <w:tcPr>
            <w:tcW w:w="9634" w:type="dxa"/>
            <w:gridSpan w:val="4"/>
            <w:vAlign w:val="center"/>
            <w:hideMark/>
          </w:tcPr>
          <w:p w14:paraId="1EBE61C9" w14:textId="77777777" w:rsidR="00353AF2" w:rsidRPr="00101DBA" w:rsidRDefault="00353AF2" w:rsidP="00DD6A51">
            <w:pPr>
              <w:spacing w:before="100" w:beforeAutospacing="1" w:after="0" w:line="360" w:lineRule="auto"/>
              <w:rPr>
                <w:rFonts w:cs="Times New Roman"/>
                <w:b/>
                <w:color w:val="000000"/>
                <w:sz w:val="26"/>
                <w:szCs w:val="26"/>
              </w:rPr>
            </w:pPr>
            <w:r w:rsidRPr="00101DBA">
              <w:rPr>
                <w:rFonts w:cs="Times New Roman"/>
                <w:b/>
                <w:color w:val="000000"/>
                <w:sz w:val="26"/>
                <w:szCs w:val="26"/>
              </w:rPr>
              <w:t>* Cận lâm sàng</w:t>
            </w:r>
          </w:p>
        </w:tc>
      </w:tr>
      <w:tr w:rsidR="00353AF2" w:rsidRPr="009D5569" w14:paraId="49544FE3" w14:textId="77777777" w:rsidTr="00101DBA">
        <w:trPr>
          <w:gridAfter w:val="1"/>
          <w:wAfter w:w="215" w:type="dxa"/>
          <w:tblCellSpacing w:w="0" w:type="dxa"/>
        </w:trPr>
        <w:tc>
          <w:tcPr>
            <w:tcW w:w="4390" w:type="dxa"/>
            <w:vAlign w:val="center"/>
            <w:hideMark/>
          </w:tcPr>
          <w:p w14:paraId="6769B05B" w14:textId="77777777" w:rsidR="00353AF2" w:rsidRPr="009D5569" w:rsidRDefault="00353AF2" w:rsidP="00DD6A51">
            <w:pPr>
              <w:spacing w:after="0" w:line="360" w:lineRule="auto"/>
              <w:rPr>
                <w:rFonts w:cs="Times New Roman"/>
                <w:color w:val="000000"/>
                <w:sz w:val="26"/>
                <w:szCs w:val="26"/>
              </w:rPr>
            </w:pPr>
            <w:r w:rsidRPr="009D5569">
              <w:rPr>
                <w:rFonts w:cs="Times New Roman"/>
                <w:color w:val="000000"/>
                <w:sz w:val="26"/>
                <w:szCs w:val="26"/>
              </w:rPr>
              <w:t>1. Xét nghiệm acid uric máu</w:t>
            </w:r>
          </w:p>
          <w:p w14:paraId="5C9F7A88" w14:textId="77777777" w:rsidR="00353AF2" w:rsidRPr="009D5569" w:rsidRDefault="00353AF2" w:rsidP="00DD6A51">
            <w:pPr>
              <w:spacing w:after="0" w:line="360" w:lineRule="auto"/>
              <w:rPr>
                <w:rFonts w:cs="Times New Roman"/>
                <w:color w:val="000000"/>
                <w:sz w:val="26"/>
                <w:szCs w:val="26"/>
              </w:rPr>
            </w:pPr>
          </w:p>
          <w:p w14:paraId="6D2CADB0" w14:textId="77777777" w:rsidR="00353AF2" w:rsidRPr="009D5569" w:rsidRDefault="00353AF2" w:rsidP="00DD6A51">
            <w:pPr>
              <w:spacing w:after="0" w:line="360" w:lineRule="auto"/>
              <w:rPr>
                <w:rFonts w:cs="Times New Roman"/>
                <w:color w:val="000000"/>
                <w:sz w:val="26"/>
                <w:szCs w:val="26"/>
              </w:rPr>
            </w:pPr>
          </w:p>
        </w:tc>
        <w:tc>
          <w:tcPr>
            <w:tcW w:w="3969" w:type="dxa"/>
            <w:vAlign w:val="center"/>
            <w:hideMark/>
          </w:tcPr>
          <w:p w14:paraId="6610238F" w14:textId="77777777" w:rsidR="00353AF2" w:rsidRPr="009D5569" w:rsidRDefault="00353AF2" w:rsidP="00DD6A51">
            <w:pPr>
              <w:spacing w:after="0" w:line="360" w:lineRule="auto"/>
              <w:rPr>
                <w:rFonts w:cs="Times New Roman"/>
                <w:color w:val="000000"/>
                <w:sz w:val="26"/>
                <w:szCs w:val="26"/>
              </w:rPr>
            </w:pPr>
            <w:r w:rsidRPr="009D5569">
              <w:rPr>
                <w:rFonts w:cs="Times New Roman"/>
                <w:color w:val="000000"/>
                <w:sz w:val="26"/>
                <w:szCs w:val="26"/>
              </w:rPr>
              <w:t>+ &lt; 240 mmol/l (&lt; 4 mg/dl)</w:t>
            </w:r>
          </w:p>
          <w:p w14:paraId="14311113" w14:textId="77777777" w:rsidR="00353AF2" w:rsidRPr="009D5569" w:rsidRDefault="00353AF2" w:rsidP="00DD6A51">
            <w:pPr>
              <w:spacing w:after="0" w:line="360" w:lineRule="auto"/>
              <w:rPr>
                <w:rFonts w:cs="Times New Roman"/>
                <w:color w:val="000000"/>
                <w:sz w:val="26"/>
                <w:szCs w:val="26"/>
              </w:rPr>
            </w:pPr>
            <w:r w:rsidRPr="009D5569">
              <w:rPr>
                <w:rFonts w:cs="Times New Roman"/>
                <w:color w:val="000000"/>
                <w:sz w:val="26"/>
                <w:szCs w:val="26"/>
              </w:rPr>
              <w:t>+ 240 - &lt; 360 mmol/l (4-6 mg/dl)</w:t>
            </w:r>
          </w:p>
          <w:p w14:paraId="3968BD80" w14:textId="77777777" w:rsidR="00353AF2" w:rsidRPr="009D5569" w:rsidRDefault="00353AF2" w:rsidP="00DD6A51">
            <w:pPr>
              <w:spacing w:after="0" w:line="360" w:lineRule="auto"/>
              <w:rPr>
                <w:rFonts w:cs="Times New Roman"/>
                <w:color w:val="000000"/>
                <w:sz w:val="26"/>
                <w:szCs w:val="26"/>
              </w:rPr>
            </w:pPr>
            <w:r w:rsidRPr="009D5569">
              <w:rPr>
                <w:rFonts w:cs="Times New Roman"/>
                <w:color w:val="000000"/>
                <w:sz w:val="26"/>
                <w:szCs w:val="26"/>
              </w:rPr>
              <w:t>+ 360 - &lt; 480 mmol/l (6-8 mg/dl)</w:t>
            </w:r>
          </w:p>
          <w:p w14:paraId="023AA8CD" w14:textId="77777777" w:rsidR="00353AF2" w:rsidRPr="009D5569" w:rsidRDefault="00353AF2" w:rsidP="00DD6A51">
            <w:pPr>
              <w:spacing w:after="0" w:line="360" w:lineRule="auto"/>
              <w:rPr>
                <w:rFonts w:cs="Times New Roman"/>
                <w:color w:val="000000"/>
                <w:sz w:val="26"/>
                <w:szCs w:val="26"/>
              </w:rPr>
            </w:pPr>
            <w:r w:rsidRPr="009D5569">
              <w:rPr>
                <w:rFonts w:cs="Times New Roman"/>
                <w:color w:val="000000"/>
                <w:sz w:val="26"/>
                <w:szCs w:val="26"/>
              </w:rPr>
              <w:t>+ 480 - &lt; 600 mmol/l (8-10 mg/dl)</w:t>
            </w:r>
          </w:p>
          <w:p w14:paraId="1F6A7706" w14:textId="77777777" w:rsidR="00353AF2" w:rsidRPr="009D5569" w:rsidRDefault="00353AF2" w:rsidP="00DD6A51">
            <w:pPr>
              <w:spacing w:after="0" w:line="360" w:lineRule="auto"/>
              <w:rPr>
                <w:rFonts w:cs="Times New Roman"/>
                <w:color w:val="000000"/>
                <w:sz w:val="26"/>
                <w:szCs w:val="26"/>
              </w:rPr>
            </w:pPr>
            <w:r w:rsidRPr="009D5569">
              <w:rPr>
                <w:rFonts w:cs="Times New Roman"/>
                <w:color w:val="000000"/>
                <w:sz w:val="26"/>
                <w:szCs w:val="26"/>
              </w:rPr>
              <w:t>+ ≥ 600 mmol/l (10 mg/dl)</w:t>
            </w:r>
          </w:p>
        </w:tc>
        <w:tc>
          <w:tcPr>
            <w:tcW w:w="1275" w:type="dxa"/>
            <w:gridSpan w:val="2"/>
            <w:vAlign w:val="center"/>
            <w:hideMark/>
          </w:tcPr>
          <w:p w14:paraId="5264DDA6" w14:textId="77777777" w:rsidR="00353AF2" w:rsidRPr="009D5569" w:rsidRDefault="00353AF2" w:rsidP="00DD6A51">
            <w:pPr>
              <w:spacing w:after="0" w:line="360" w:lineRule="auto"/>
              <w:jc w:val="center"/>
              <w:rPr>
                <w:rFonts w:cs="Times New Roman"/>
                <w:color w:val="000000"/>
                <w:sz w:val="26"/>
                <w:szCs w:val="26"/>
              </w:rPr>
            </w:pPr>
            <w:r w:rsidRPr="009D5569">
              <w:rPr>
                <w:rFonts w:cs="Times New Roman"/>
                <w:color w:val="000000"/>
                <w:sz w:val="26"/>
                <w:szCs w:val="26"/>
              </w:rPr>
              <w:t>-4</w:t>
            </w:r>
          </w:p>
          <w:p w14:paraId="02980A31" w14:textId="77777777" w:rsidR="00353AF2" w:rsidRPr="009D5569" w:rsidRDefault="00353AF2" w:rsidP="00DD6A51">
            <w:pPr>
              <w:spacing w:after="0" w:line="360" w:lineRule="auto"/>
              <w:jc w:val="center"/>
              <w:rPr>
                <w:rFonts w:cs="Times New Roman"/>
                <w:color w:val="000000"/>
                <w:sz w:val="26"/>
                <w:szCs w:val="26"/>
              </w:rPr>
            </w:pPr>
            <w:r w:rsidRPr="009D5569">
              <w:rPr>
                <w:rFonts w:cs="Times New Roman"/>
                <w:color w:val="000000"/>
                <w:sz w:val="26"/>
                <w:szCs w:val="26"/>
              </w:rPr>
              <w:t>0</w:t>
            </w:r>
          </w:p>
          <w:p w14:paraId="1DCBA7F6" w14:textId="77777777" w:rsidR="00353AF2" w:rsidRPr="009D5569" w:rsidRDefault="00353AF2" w:rsidP="00DD6A51">
            <w:pPr>
              <w:spacing w:after="0" w:line="360" w:lineRule="auto"/>
              <w:jc w:val="center"/>
              <w:rPr>
                <w:rFonts w:cs="Times New Roman"/>
                <w:color w:val="000000"/>
                <w:sz w:val="26"/>
                <w:szCs w:val="26"/>
              </w:rPr>
            </w:pPr>
            <w:r w:rsidRPr="009D5569">
              <w:rPr>
                <w:rFonts w:cs="Times New Roman"/>
                <w:color w:val="000000"/>
                <w:sz w:val="26"/>
                <w:szCs w:val="26"/>
              </w:rPr>
              <w:t>2</w:t>
            </w:r>
          </w:p>
          <w:p w14:paraId="28F737A7" w14:textId="77777777" w:rsidR="00353AF2" w:rsidRPr="009D5569" w:rsidRDefault="00353AF2" w:rsidP="00DD6A51">
            <w:pPr>
              <w:spacing w:after="0" w:line="360" w:lineRule="auto"/>
              <w:jc w:val="center"/>
              <w:rPr>
                <w:rFonts w:cs="Times New Roman"/>
                <w:color w:val="000000"/>
                <w:sz w:val="26"/>
                <w:szCs w:val="26"/>
              </w:rPr>
            </w:pPr>
            <w:r w:rsidRPr="009D5569">
              <w:rPr>
                <w:rFonts w:cs="Times New Roman"/>
                <w:color w:val="000000"/>
                <w:sz w:val="26"/>
                <w:szCs w:val="26"/>
              </w:rPr>
              <w:t>3</w:t>
            </w:r>
          </w:p>
          <w:p w14:paraId="2F1EBD63" w14:textId="77777777" w:rsidR="00353AF2" w:rsidRPr="009D5569" w:rsidRDefault="00353AF2" w:rsidP="00DD6A51">
            <w:pPr>
              <w:spacing w:after="0" w:line="360" w:lineRule="auto"/>
              <w:jc w:val="center"/>
              <w:rPr>
                <w:rFonts w:cs="Times New Roman"/>
                <w:color w:val="000000"/>
                <w:sz w:val="26"/>
                <w:szCs w:val="26"/>
              </w:rPr>
            </w:pPr>
            <w:r w:rsidRPr="009D5569">
              <w:rPr>
                <w:rFonts w:cs="Times New Roman"/>
                <w:color w:val="000000"/>
                <w:sz w:val="26"/>
                <w:szCs w:val="26"/>
              </w:rPr>
              <w:t>4</w:t>
            </w:r>
          </w:p>
        </w:tc>
      </w:tr>
      <w:tr w:rsidR="00353AF2" w:rsidRPr="009D5569" w14:paraId="29E793F8" w14:textId="77777777" w:rsidTr="001A6B73">
        <w:trPr>
          <w:gridAfter w:val="1"/>
          <w:wAfter w:w="215" w:type="dxa"/>
          <w:trHeight w:val="582"/>
          <w:tblCellSpacing w:w="0" w:type="dxa"/>
        </w:trPr>
        <w:tc>
          <w:tcPr>
            <w:tcW w:w="4390" w:type="dxa"/>
            <w:vAlign w:val="center"/>
            <w:hideMark/>
          </w:tcPr>
          <w:p w14:paraId="428997E6" w14:textId="77777777" w:rsidR="00353AF2" w:rsidRPr="009D5569" w:rsidRDefault="00353AF2" w:rsidP="00DD6A51">
            <w:pPr>
              <w:spacing w:before="100" w:beforeAutospacing="1" w:after="0" w:line="360" w:lineRule="auto"/>
              <w:rPr>
                <w:rFonts w:cs="Times New Roman"/>
                <w:color w:val="000000"/>
                <w:sz w:val="26"/>
                <w:szCs w:val="26"/>
              </w:rPr>
            </w:pPr>
            <w:r w:rsidRPr="009D5569">
              <w:rPr>
                <w:rFonts w:cs="Times New Roman"/>
                <w:color w:val="000000"/>
                <w:sz w:val="26"/>
                <w:szCs w:val="26"/>
              </w:rPr>
              <w:t>2. Xét nghiệm dịch khớp</w:t>
            </w:r>
          </w:p>
        </w:tc>
        <w:tc>
          <w:tcPr>
            <w:tcW w:w="3969" w:type="dxa"/>
            <w:vAlign w:val="center"/>
            <w:hideMark/>
          </w:tcPr>
          <w:p w14:paraId="339523A1" w14:textId="77777777" w:rsidR="00353AF2" w:rsidRPr="009D5569" w:rsidRDefault="00353AF2" w:rsidP="00DD6A51">
            <w:pPr>
              <w:spacing w:before="100" w:beforeAutospacing="1" w:after="0" w:line="360" w:lineRule="auto"/>
              <w:rPr>
                <w:rFonts w:cs="Times New Roman"/>
                <w:color w:val="000000"/>
                <w:sz w:val="26"/>
                <w:szCs w:val="26"/>
              </w:rPr>
            </w:pPr>
            <w:r w:rsidRPr="009D5569">
              <w:rPr>
                <w:rFonts w:cs="Times New Roman"/>
                <w:color w:val="000000"/>
                <w:sz w:val="26"/>
                <w:szCs w:val="26"/>
              </w:rPr>
              <w:t>Không phát hiện tinh thể urat</w:t>
            </w:r>
          </w:p>
        </w:tc>
        <w:tc>
          <w:tcPr>
            <w:tcW w:w="1275" w:type="dxa"/>
            <w:gridSpan w:val="2"/>
            <w:vAlign w:val="center"/>
            <w:hideMark/>
          </w:tcPr>
          <w:p w14:paraId="7B849F7E" w14:textId="77777777" w:rsidR="00353AF2" w:rsidRPr="009D5569" w:rsidRDefault="00353AF2" w:rsidP="00DD6A51">
            <w:pPr>
              <w:spacing w:before="100" w:beforeAutospacing="1" w:after="0" w:line="360" w:lineRule="auto"/>
              <w:jc w:val="center"/>
              <w:rPr>
                <w:rFonts w:cs="Times New Roman"/>
                <w:color w:val="000000"/>
                <w:sz w:val="26"/>
                <w:szCs w:val="26"/>
              </w:rPr>
            </w:pPr>
            <w:r w:rsidRPr="009D5569">
              <w:rPr>
                <w:rFonts w:cs="Times New Roman"/>
                <w:color w:val="000000"/>
                <w:sz w:val="26"/>
                <w:szCs w:val="26"/>
              </w:rPr>
              <w:t>- 2</w:t>
            </w:r>
          </w:p>
        </w:tc>
      </w:tr>
      <w:tr w:rsidR="00353AF2" w:rsidRPr="009D5569" w14:paraId="491788EA" w14:textId="77777777" w:rsidTr="00101DBA">
        <w:trPr>
          <w:gridAfter w:val="1"/>
          <w:wAfter w:w="215" w:type="dxa"/>
          <w:trHeight w:val="2394"/>
          <w:tblCellSpacing w:w="0" w:type="dxa"/>
        </w:trPr>
        <w:tc>
          <w:tcPr>
            <w:tcW w:w="4390" w:type="dxa"/>
            <w:vAlign w:val="center"/>
            <w:hideMark/>
          </w:tcPr>
          <w:p w14:paraId="342459DA" w14:textId="77777777" w:rsidR="00353AF2" w:rsidRPr="009D5569" w:rsidRDefault="00353AF2" w:rsidP="00DD6A51">
            <w:pPr>
              <w:spacing w:after="0" w:line="360" w:lineRule="auto"/>
              <w:rPr>
                <w:rFonts w:cs="Times New Roman"/>
                <w:color w:val="000000"/>
                <w:sz w:val="26"/>
                <w:szCs w:val="26"/>
              </w:rPr>
            </w:pPr>
            <w:r w:rsidRPr="009D5569">
              <w:rPr>
                <w:rFonts w:cs="Times New Roman"/>
                <w:color w:val="000000"/>
                <w:sz w:val="26"/>
                <w:szCs w:val="26"/>
              </w:rPr>
              <w:t>3. Chẩn đoán hình ảnh</w:t>
            </w:r>
          </w:p>
          <w:p w14:paraId="7197C1FB" w14:textId="77777777" w:rsidR="00353AF2" w:rsidRPr="009D5569" w:rsidRDefault="00353AF2" w:rsidP="00DD6A51">
            <w:pPr>
              <w:spacing w:after="0" w:line="360" w:lineRule="auto"/>
              <w:rPr>
                <w:rFonts w:cs="Times New Roman"/>
                <w:color w:val="000000"/>
                <w:sz w:val="26"/>
                <w:szCs w:val="26"/>
              </w:rPr>
            </w:pPr>
            <w:r w:rsidRPr="009D5569">
              <w:rPr>
                <w:rFonts w:cs="Times New Roman"/>
                <w:color w:val="000000"/>
                <w:sz w:val="26"/>
                <w:szCs w:val="26"/>
              </w:rPr>
              <w:t>- Siêu âm: dấu hiệu đường đôi</w:t>
            </w:r>
          </w:p>
          <w:p w14:paraId="65F9A674" w14:textId="0EEADF23" w:rsidR="00353AF2" w:rsidRPr="009D5569" w:rsidRDefault="00353AF2" w:rsidP="00DD6A51">
            <w:pPr>
              <w:spacing w:after="0" w:line="360" w:lineRule="auto"/>
              <w:rPr>
                <w:rFonts w:cs="Times New Roman"/>
                <w:color w:val="000000"/>
                <w:sz w:val="26"/>
                <w:szCs w:val="26"/>
              </w:rPr>
            </w:pPr>
            <w:r w:rsidRPr="009D5569">
              <w:rPr>
                <w:rFonts w:cs="Times New Roman"/>
                <w:color w:val="000000"/>
                <w:sz w:val="26"/>
                <w:szCs w:val="26"/>
              </w:rPr>
              <w:t>- DECT (dual energy computed tomography: chụp cắt lớp vi tính năng lượng kép) scanner: bắt màu urat đặc biệt</w:t>
            </w:r>
            <w:r w:rsidR="00101DBA">
              <w:rPr>
                <w:rFonts w:cs="Times New Roman"/>
                <w:color w:val="000000"/>
                <w:sz w:val="26"/>
                <w:szCs w:val="26"/>
              </w:rPr>
              <w:t>.</w:t>
            </w:r>
          </w:p>
        </w:tc>
        <w:tc>
          <w:tcPr>
            <w:tcW w:w="3969" w:type="dxa"/>
            <w:vAlign w:val="center"/>
            <w:hideMark/>
          </w:tcPr>
          <w:p w14:paraId="35739C1D" w14:textId="77777777" w:rsidR="00353AF2" w:rsidRPr="009D5569" w:rsidRDefault="00353AF2" w:rsidP="00DD6A51">
            <w:pPr>
              <w:spacing w:after="0" w:line="360" w:lineRule="auto"/>
              <w:jc w:val="center"/>
              <w:rPr>
                <w:rFonts w:cs="Times New Roman"/>
                <w:color w:val="000000"/>
                <w:sz w:val="26"/>
                <w:szCs w:val="26"/>
              </w:rPr>
            </w:pPr>
          </w:p>
          <w:p w14:paraId="2F38D48F" w14:textId="77777777" w:rsidR="00353AF2" w:rsidRPr="009D5569" w:rsidRDefault="00353AF2" w:rsidP="00DD6A51">
            <w:pPr>
              <w:pStyle w:val="ListParagraph"/>
              <w:numPr>
                <w:ilvl w:val="0"/>
                <w:numId w:val="13"/>
              </w:numPr>
              <w:spacing w:after="0" w:line="360" w:lineRule="auto"/>
              <w:contextualSpacing w:val="0"/>
              <w:rPr>
                <w:rFonts w:cs="Times New Roman"/>
                <w:color w:val="000000"/>
                <w:sz w:val="26"/>
                <w:szCs w:val="26"/>
              </w:rPr>
            </w:pPr>
            <w:r w:rsidRPr="009D5569">
              <w:rPr>
                <w:rFonts w:cs="Times New Roman"/>
                <w:color w:val="000000"/>
                <w:sz w:val="26"/>
                <w:szCs w:val="26"/>
              </w:rPr>
              <w:t>Có 1 trong 2 bằng chứng</w:t>
            </w:r>
          </w:p>
        </w:tc>
        <w:tc>
          <w:tcPr>
            <w:tcW w:w="1275" w:type="dxa"/>
            <w:gridSpan w:val="2"/>
            <w:vAlign w:val="center"/>
            <w:hideMark/>
          </w:tcPr>
          <w:p w14:paraId="323F4B7D" w14:textId="77777777" w:rsidR="00353AF2" w:rsidRPr="009D5569" w:rsidRDefault="00353AF2" w:rsidP="00DD6A51">
            <w:pPr>
              <w:spacing w:after="0" w:line="360" w:lineRule="auto"/>
              <w:jc w:val="center"/>
              <w:rPr>
                <w:rFonts w:cs="Times New Roman"/>
                <w:color w:val="000000"/>
                <w:sz w:val="26"/>
                <w:szCs w:val="26"/>
              </w:rPr>
            </w:pPr>
          </w:p>
          <w:p w14:paraId="413FD692" w14:textId="77777777" w:rsidR="00353AF2" w:rsidRPr="009D5569" w:rsidRDefault="00353AF2" w:rsidP="00DD6A51">
            <w:pPr>
              <w:spacing w:after="0" w:line="360" w:lineRule="auto"/>
              <w:jc w:val="center"/>
              <w:rPr>
                <w:rFonts w:cs="Times New Roman"/>
                <w:color w:val="000000"/>
                <w:sz w:val="26"/>
                <w:szCs w:val="26"/>
              </w:rPr>
            </w:pPr>
            <w:r w:rsidRPr="009D5569">
              <w:rPr>
                <w:rFonts w:cs="Times New Roman"/>
                <w:color w:val="000000"/>
                <w:sz w:val="26"/>
                <w:szCs w:val="26"/>
              </w:rPr>
              <w:t>4</w:t>
            </w:r>
          </w:p>
        </w:tc>
      </w:tr>
      <w:tr w:rsidR="00353AF2" w:rsidRPr="009D5569" w14:paraId="3B81E047" w14:textId="77777777" w:rsidTr="00101DBA">
        <w:trPr>
          <w:gridAfter w:val="1"/>
          <w:wAfter w:w="215" w:type="dxa"/>
          <w:trHeight w:val="1447"/>
          <w:tblCellSpacing w:w="0" w:type="dxa"/>
        </w:trPr>
        <w:tc>
          <w:tcPr>
            <w:tcW w:w="4390" w:type="dxa"/>
            <w:vAlign w:val="center"/>
            <w:hideMark/>
          </w:tcPr>
          <w:p w14:paraId="513C1723" w14:textId="11F8A326" w:rsidR="00353AF2" w:rsidRPr="009D5569" w:rsidRDefault="00353AF2" w:rsidP="00DD6A51">
            <w:pPr>
              <w:spacing w:after="0" w:line="360" w:lineRule="auto"/>
              <w:rPr>
                <w:rFonts w:cs="Times New Roman"/>
                <w:color w:val="000000"/>
                <w:sz w:val="26"/>
                <w:szCs w:val="26"/>
              </w:rPr>
            </w:pPr>
            <w:r w:rsidRPr="009D5569">
              <w:rPr>
                <w:rFonts w:cs="Times New Roman"/>
                <w:color w:val="000000"/>
                <w:sz w:val="26"/>
                <w:szCs w:val="26"/>
              </w:rPr>
              <w:t>4. Xquang:</w:t>
            </w:r>
            <w:r w:rsidR="00101DBA">
              <w:rPr>
                <w:rFonts w:cs="Times New Roman"/>
                <w:color w:val="000000"/>
                <w:sz w:val="26"/>
                <w:szCs w:val="26"/>
              </w:rPr>
              <w:t xml:space="preserve"> </w:t>
            </w:r>
            <w:r w:rsidRPr="009D5569">
              <w:rPr>
                <w:rFonts w:cs="Times New Roman"/>
                <w:color w:val="000000"/>
                <w:sz w:val="26"/>
                <w:szCs w:val="26"/>
              </w:rPr>
              <w:t>Hình ảnh bào mòn xương ở bàn tay hoặc bàn chân</w:t>
            </w:r>
          </w:p>
        </w:tc>
        <w:tc>
          <w:tcPr>
            <w:tcW w:w="3969" w:type="dxa"/>
            <w:vAlign w:val="center"/>
            <w:hideMark/>
          </w:tcPr>
          <w:p w14:paraId="14460749" w14:textId="77777777" w:rsidR="00353AF2" w:rsidRPr="009D5569" w:rsidRDefault="00353AF2" w:rsidP="00DD6A51">
            <w:pPr>
              <w:pStyle w:val="ListParagraph"/>
              <w:numPr>
                <w:ilvl w:val="0"/>
                <w:numId w:val="13"/>
              </w:numPr>
              <w:spacing w:after="0" w:line="360" w:lineRule="auto"/>
              <w:contextualSpacing w:val="0"/>
              <w:jc w:val="both"/>
              <w:rPr>
                <w:rFonts w:cs="Times New Roman"/>
                <w:color w:val="000000"/>
                <w:sz w:val="26"/>
                <w:szCs w:val="26"/>
              </w:rPr>
            </w:pPr>
            <w:r w:rsidRPr="009D5569">
              <w:rPr>
                <w:rFonts w:cs="Times New Roman"/>
                <w:color w:val="000000"/>
                <w:sz w:val="26"/>
                <w:szCs w:val="26"/>
              </w:rPr>
              <w:t>Hiện diện</w:t>
            </w:r>
          </w:p>
        </w:tc>
        <w:tc>
          <w:tcPr>
            <w:tcW w:w="1275" w:type="dxa"/>
            <w:gridSpan w:val="2"/>
            <w:vAlign w:val="center"/>
            <w:hideMark/>
          </w:tcPr>
          <w:p w14:paraId="56ACBAAA" w14:textId="77777777" w:rsidR="00353AF2" w:rsidRPr="009D5569" w:rsidRDefault="00353AF2" w:rsidP="00DD6A51">
            <w:pPr>
              <w:spacing w:after="0" w:line="360" w:lineRule="auto"/>
              <w:jc w:val="center"/>
              <w:rPr>
                <w:rFonts w:cs="Times New Roman"/>
                <w:color w:val="000000"/>
                <w:sz w:val="26"/>
                <w:szCs w:val="26"/>
              </w:rPr>
            </w:pPr>
            <w:r w:rsidRPr="009D5569">
              <w:rPr>
                <w:rFonts w:cs="Times New Roman"/>
                <w:color w:val="000000"/>
                <w:sz w:val="26"/>
                <w:szCs w:val="26"/>
              </w:rPr>
              <w:t>4</w:t>
            </w:r>
          </w:p>
        </w:tc>
      </w:tr>
      <w:tr w:rsidR="00353AF2" w:rsidRPr="009D5569" w14:paraId="79C59FE8" w14:textId="77777777" w:rsidTr="001A6B73">
        <w:trPr>
          <w:gridAfter w:val="1"/>
          <w:wAfter w:w="215" w:type="dxa"/>
          <w:trHeight w:val="577"/>
          <w:tblCellSpacing w:w="0" w:type="dxa"/>
        </w:trPr>
        <w:tc>
          <w:tcPr>
            <w:tcW w:w="4390" w:type="dxa"/>
            <w:vAlign w:val="center"/>
            <w:hideMark/>
          </w:tcPr>
          <w:p w14:paraId="0085D971" w14:textId="0A97B2FD" w:rsidR="00353AF2" w:rsidRPr="00101DBA" w:rsidRDefault="00353AF2" w:rsidP="00DD6A51">
            <w:pPr>
              <w:spacing w:before="100" w:beforeAutospacing="1" w:after="0" w:line="360" w:lineRule="auto"/>
              <w:rPr>
                <w:rFonts w:cs="Times New Roman"/>
                <w:b/>
                <w:color w:val="000000"/>
                <w:sz w:val="26"/>
                <w:szCs w:val="26"/>
              </w:rPr>
            </w:pPr>
            <w:r w:rsidRPr="00101DBA">
              <w:rPr>
                <w:rFonts w:cs="Times New Roman"/>
                <w:b/>
                <w:color w:val="000000"/>
                <w:sz w:val="26"/>
                <w:szCs w:val="26"/>
              </w:rPr>
              <w:t>Chẩn đoán (+) GÚT</w:t>
            </w:r>
          </w:p>
        </w:tc>
        <w:tc>
          <w:tcPr>
            <w:tcW w:w="3969" w:type="dxa"/>
            <w:vAlign w:val="center"/>
            <w:hideMark/>
          </w:tcPr>
          <w:p w14:paraId="29F368C4" w14:textId="77777777" w:rsidR="00353AF2" w:rsidRPr="00101DBA" w:rsidRDefault="00353AF2" w:rsidP="00DD6A51">
            <w:pPr>
              <w:spacing w:before="100" w:beforeAutospacing="1" w:after="0" w:line="360" w:lineRule="auto"/>
              <w:jc w:val="center"/>
              <w:rPr>
                <w:rFonts w:cs="Times New Roman"/>
                <w:b/>
                <w:color w:val="000000"/>
                <w:sz w:val="26"/>
                <w:szCs w:val="26"/>
              </w:rPr>
            </w:pPr>
            <w:r w:rsidRPr="00101DBA">
              <w:rPr>
                <w:rFonts w:cs="Times New Roman"/>
                <w:b/>
                <w:color w:val="000000"/>
                <w:sz w:val="26"/>
                <w:szCs w:val="26"/>
              </w:rPr>
              <w:t>TỔNG ĐIỂM</w:t>
            </w:r>
          </w:p>
        </w:tc>
        <w:tc>
          <w:tcPr>
            <w:tcW w:w="1275" w:type="dxa"/>
            <w:gridSpan w:val="2"/>
            <w:vAlign w:val="center"/>
            <w:hideMark/>
          </w:tcPr>
          <w:p w14:paraId="7A070131" w14:textId="77777777" w:rsidR="00353AF2" w:rsidRPr="00101DBA" w:rsidRDefault="00353AF2" w:rsidP="00DD6A51">
            <w:pPr>
              <w:spacing w:before="100" w:beforeAutospacing="1" w:after="0" w:line="360" w:lineRule="auto"/>
              <w:jc w:val="center"/>
              <w:rPr>
                <w:rFonts w:cs="Times New Roman"/>
                <w:b/>
                <w:color w:val="000000"/>
                <w:sz w:val="26"/>
                <w:szCs w:val="26"/>
              </w:rPr>
            </w:pPr>
            <w:r w:rsidRPr="00101DBA">
              <w:rPr>
                <w:rFonts w:cs="Times New Roman"/>
                <w:b/>
                <w:color w:val="000000"/>
                <w:sz w:val="26"/>
                <w:szCs w:val="26"/>
              </w:rPr>
              <w:t>≥ 8</w:t>
            </w:r>
          </w:p>
        </w:tc>
      </w:tr>
      <w:tr w:rsidR="00353AF2" w:rsidRPr="009D5569" w14:paraId="7C296CA7" w14:textId="77777777" w:rsidTr="00101DBA">
        <w:trPr>
          <w:tblCellSpacing w:w="0" w:type="dxa"/>
        </w:trPr>
        <w:tc>
          <w:tcPr>
            <w:tcW w:w="4390" w:type="dxa"/>
            <w:vAlign w:val="center"/>
            <w:hideMark/>
          </w:tcPr>
          <w:p w14:paraId="2D948D7B" w14:textId="77777777" w:rsidR="00353AF2" w:rsidRPr="009D5569" w:rsidRDefault="00353AF2" w:rsidP="00DD6A51">
            <w:pPr>
              <w:spacing w:after="0" w:line="360" w:lineRule="auto"/>
              <w:jc w:val="center"/>
              <w:rPr>
                <w:rFonts w:cs="Times New Roman"/>
                <w:color w:val="000000"/>
                <w:sz w:val="26"/>
                <w:szCs w:val="26"/>
              </w:rPr>
            </w:pPr>
          </w:p>
        </w:tc>
        <w:tc>
          <w:tcPr>
            <w:tcW w:w="3969" w:type="dxa"/>
            <w:vAlign w:val="center"/>
            <w:hideMark/>
          </w:tcPr>
          <w:p w14:paraId="37046773" w14:textId="77777777" w:rsidR="00353AF2" w:rsidRPr="009D5569" w:rsidRDefault="00353AF2" w:rsidP="00DD6A51">
            <w:pPr>
              <w:spacing w:after="0" w:line="360" w:lineRule="auto"/>
              <w:jc w:val="center"/>
              <w:rPr>
                <w:rFonts w:cs="Times New Roman"/>
                <w:color w:val="000000"/>
                <w:sz w:val="26"/>
                <w:szCs w:val="26"/>
              </w:rPr>
            </w:pPr>
          </w:p>
        </w:tc>
        <w:tc>
          <w:tcPr>
            <w:tcW w:w="50" w:type="dxa"/>
            <w:vAlign w:val="center"/>
            <w:hideMark/>
          </w:tcPr>
          <w:p w14:paraId="3F01705B" w14:textId="77777777" w:rsidR="00353AF2" w:rsidRPr="009D5569" w:rsidRDefault="00353AF2" w:rsidP="00DD6A51">
            <w:pPr>
              <w:spacing w:after="0" w:line="360" w:lineRule="auto"/>
              <w:jc w:val="center"/>
              <w:rPr>
                <w:rFonts w:cs="Times New Roman"/>
                <w:color w:val="000000"/>
                <w:sz w:val="26"/>
                <w:szCs w:val="26"/>
              </w:rPr>
            </w:pPr>
          </w:p>
        </w:tc>
        <w:tc>
          <w:tcPr>
            <w:tcW w:w="1440" w:type="dxa"/>
            <w:gridSpan w:val="2"/>
            <w:vAlign w:val="center"/>
            <w:hideMark/>
          </w:tcPr>
          <w:p w14:paraId="35403B23" w14:textId="77777777" w:rsidR="00353AF2" w:rsidRPr="009D5569" w:rsidRDefault="00353AF2" w:rsidP="00DD6A51">
            <w:pPr>
              <w:spacing w:after="0" w:line="360" w:lineRule="auto"/>
              <w:jc w:val="center"/>
              <w:rPr>
                <w:rFonts w:cs="Times New Roman"/>
                <w:color w:val="000000"/>
                <w:sz w:val="26"/>
                <w:szCs w:val="26"/>
              </w:rPr>
            </w:pPr>
          </w:p>
        </w:tc>
      </w:tr>
    </w:tbl>
    <w:p w14:paraId="45256043" w14:textId="77777777" w:rsidR="001A6B73" w:rsidRDefault="001A6B73" w:rsidP="00DD6A51">
      <w:pPr>
        <w:pStyle w:val="Heading3"/>
        <w:tabs>
          <w:tab w:val="left" w:pos="645"/>
        </w:tabs>
        <w:spacing w:before="0" w:line="360" w:lineRule="auto"/>
        <w:ind w:left="1134" w:firstLine="0"/>
        <w:jc w:val="both"/>
        <w:rPr>
          <w:sz w:val="26"/>
          <w:szCs w:val="26"/>
        </w:rPr>
      </w:pPr>
    </w:p>
    <w:p w14:paraId="3FB752B1" w14:textId="0EF1E25A" w:rsidR="00353AF2" w:rsidRPr="009D5569" w:rsidRDefault="00353AF2" w:rsidP="00DD6A51">
      <w:pPr>
        <w:pStyle w:val="Heading3"/>
        <w:numPr>
          <w:ilvl w:val="1"/>
          <w:numId w:val="29"/>
        </w:numPr>
        <w:tabs>
          <w:tab w:val="left" w:pos="645"/>
        </w:tabs>
        <w:spacing w:before="0" w:line="360" w:lineRule="auto"/>
        <w:ind w:left="1134" w:hanging="992"/>
        <w:jc w:val="both"/>
        <w:rPr>
          <w:sz w:val="26"/>
          <w:szCs w:val="26"/>
        </w:rPr>
      </w:pPr>
      <w:r w:rsidRPr="009D5569">
        <w:rPr>
          <w:sz w:val="26"/>
          <w:szCs w:val="26"/>
        </w:rPr>
        <w:t>Chẩn đoán phân</w:t>
      </w:r>
      <w:r w:rsidRPr="001A6B73">
        <w:rPr>
          <w:sz w:val="26"/>
          <w:szCs w:val="26"/>
        </w:rPr>
        <w:t xml:space="preserve"> </w:t>
      </w:r>
      <w:r w:rsidRPr="009D5569">
        <w:rPr>
          <w:sz w:val="26"/>
          <w:szCs w:val="26"/>
        </w:rPr>
        <w:t>biệt</w:t>
      </w:r>
    </w:p>
    <w:p w14:paraId="76EC3873" w14:textId="14EB7A90" w:rsidR="00353AF2" w:rsidRPr="001A6B73" w:rsidRDefault="00353AF2" w:rsidP="00DD6A51">
      <w:pPr>
        <w:pStyle w:val="BodyText"/>
        <w:numPr>
          <w:ilvl w:val="0"/>
          <w:numId w:val="28"/>
        </w:numPr>
        <w:spacing w:line="360" w:lineRule="auto"/>
        <w:ind w:left="426" w:right="266"/>
        <w:rPr>
          <w:sz w:val="26"/>
          <w:szCs w:val="26"/>
        </w:rPr>
      </w:pPr>
      <w:r w:rsidRPr="001A6B73">
        <w:rPr>
          <w:b/>
          <w:sz w:val="26"/>
          <w:szCs w:val="26"/>
        </w:rPr>
        <w:t>Gút cấp:</w:t>
      </w:r>
      <w:r w:rsidRPr="001A6B73">
        <w:rPr>
          <w:sz w:val="26"/>
          <w:szCs w:val="26"/>
        </w:rPr>
        <w:t xml:space="preserve"> viêm khớp nhiễm trùng, viêm mô tế bào quanh khớp, bện</w:t>
      </w:r>
      <w:r w:rsidR="001A6B73">
        <w:rPr>
          <w:sz w:val="26"/>
          <w:szCs w:val="26"/>
          <w:lang w:val="en-US"/>
        </w:rPr>
        <w:t>h</w:t>
      </w:r>
      <w:r w:rsidRPr="001A6B73">
        <w:rPr>
          <w:sz w:val="26"/>
          <w:szCs w:val="26"/>
        </w:rPr>
        <w:t xml:space="preserve"> giả gút</w:t>
      </w:r>
      <w:r w:rsidR="001A6B73">
        <w:rPr>
          <w:sz w:val="26"/>
          <w:szCs w:val="26"/>
          <w:lang w:val="en-US"/>
        </w:rPr>
        <w:t xml:space="preserve"> (</w:t>
      </w:r>
      <w:r w:rsidRPr="001A6B73">
        <w:rPr>
          <w:sz w:val="26"/>
          <w:szCs w:val="26"/>
        </w:rPr>
        <w:t>pseudogout), chấn thương khớp, viêm khớp phản ứng, lao khớp.</w:t>
      </w:r>
    </w:p>
    <w:p w14:paraId="07BF13DA" w14:textId="6B686F95" w:rsidR="00353AF2" w:rsidRPr="001A6B73" w:rsidRDefault="00353AF2" w:rsidP="00DD6A51">
      <w:pPr>
        <w:pStyle w:val="BodyText"/>
        <w:numPr>
          <w:ilvl w:val="0"/>
          <w:numId w:val="28"/>
        </w:numPr>
        <w:spacing w:line="360" w:lineRule="auto"/>
        <w:ind w:left="426" w:right="266"/>
        <w:rPr>
          <w:sz w:val="26"/>
          <w:szCs w:val="26"/>
        </w:rPr>
      </w:pPr>
      <w:r w:rsidRPr="001A6B73">
        <w:rPr>
          <w:b/>
          <w:sz w:val="26"/>
          <w:szCs w:val="26"/>
        </w:rPr>
        <w:t>Gút mạn:</w:t>
      </w:r>
      <w:r w:rsidRPr="001A6B73">
        <w:rPr>
          <w:sz w:val="26"/>
          <w:szCs w:val="26"/>
        </w:rPr>
        <w:t xml:space="preserve"> viêm khớp dạng thấp, viêm khớp vảy nến, thoái hóa khớp.</w:t>
      </w:r>
    </w:p>
    <w:p w14:paraId="0B70B6A5" w14:textId="2A542538"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ĐIỀU TRỊ</w:t>
      </w:r>
    </w:p>
    <w:p w14:paraId="0C1175E7" w14:textId="1BB65041" w:rsidR="00353AF2" w:rsidRPr="009D5569" w:rsidRDefault="00353AF2" w:rsidP="00DD6A51">
      <w:pPr>
        <w:pStyle w:val="Heading3"/>
        <w:numPr>
          <w:ilvl w:val="1"/>
          <w:numId w:val="29"/>
        </w:numPr>
        <w:tabs>
          <w:tab w:val="left" w:pos="645"/>
        </w:tabs>
        <w:spacing w:before="0" w:line="360" w:lineRule="auto"/>
        <w:ind w:left="1134" w:hanging="992"/>
        <w:jc w:val="both"/>
        <w:rPr>
          <w:sz w:val="26"/>
          <w:szCs w:val="26"/>
        </w:rPr>
      </w:pPr>
      <w:r w:rsidRPr="009D5569">
        <w:rPr>
          <w:sz w:val="26"/>
          <w:szCs w:val="26"/>
        </w:rPr>
        <w:t>Nguyên tắc</w:t>
      </w:r>
      <w:r w:rsidRPr="001A6B73">
        <w:rPr>
          <w:sz w:val="26"/>
          <w:szCs w:val="26"/>
        </w:rPr>
        <w:t xml:space="preserve"> </w:t>
      </w:r>
      <w:r w:rsidRPr="009D5569">
        <w:rPr>
          <w:sz w:val="26"/>
          <w:szCs w:val="26"/>
        </w:rPr>
        <w:t>chung</w:t>
      </w:r>
    </w:p>
    <w:p w14:paraId="14E4C61C" w14:textId="77777777" w:rsidR="00353AF2" w:rsidRPr="001A6B73" w:rsidRDefault="00353AF2" w:rsidP="00DD6A51">
      <w:pPr>
        <w:pStyle w:val="BodyText"/>
        <w:numPr>
          <w:ilvl w:val="0"/>
          <w:numId w:val="28"/>
        </w:numPr>
        <w:spacing w:line="360" w:lineRule="auto"/>
        <w:ind w:left="426" w:right="266"/>
        <w:rPr>
          <w:sz w:val="26"/>
          <w:szCs w:val="26"/>
        </w:rPr>
      </w:pPr>
      <w:r w:rsidRPr="001A6B73">
        <w:rPr>
          <w:sz w:val="26"/>
          <w:szCs w:val="26"/>
        </w:rPr>
        <w:t>Điều trị liên tục, lâu dài.</w:t>
      </w:r>
    </w:p>
    <w:p w14:paraId="2790D393" w14:textId="77777777" w:rsidR="00353AF2" w:rsidRPr="001A6B73" w:rsidRDefault="00353AF2" w:rsidP="00DD6A51">
      <w:pPr>
        <w:pStyle w:val="BodyText"/>
        <w:numPr>
          <w:ilvl w:val="0"/>
          <w:numId w:val="28"/>
        </w:numPr>
        <w:spacing w:line="360" w:lineRule="auto"/>
        <w:ind w:left="426" w:right="266"/>
        <w:rPr>
          <w:sz w:val="26"/>
          <w:szCs w:val="26"/>
        </w:rPr>
      </w:pPr>
      <w:r w:rsidRPr="001A6B73">
        <w:rPr>
          <w:sz w:val="26"/>
          <w:szCs w:val="26"/>
        </w:rPr>
        <w:t>Điều trị biến chứng và bệnh lý phối hợp.</w:t>
      </w:r>
    </w:p>
    <w:p w14:paraId="7A11791A" w14:textId="77777777" w:rsidR="00353AF2" w:rsidRPr="001A6B73" w:rsidRDefault="00353AF2" w:rsidP="00DD6A51">
      <w:pPr>
        <w:pStyle w:val="BodyText"/>
        <w:numPr>
          <w:ilvl w:val="0"/>
          <w:numId w:val="28"/>
        </w:numPr>
        <w:spacing w:line="360" w:lineRule="auto"/>
        <w:ind w:left="426" w:right="266"/>
        <w:rPr>
          <w:sz w:val="26"/>
          <w:szCs w:val="26"/>
        </w:rPr>
      </w:pPr>
      <w:r w:rsidRPr="001A6B73">
        <w:rPr>
          <w:sz w:val="26"/>
          <w:szCs w:val="26"/>
        </w:rPr>
        <w:t>Bên cạnh khống chế và dự phòng các cơn cấp đòi hỏi phải điều trị hạ acid uric máu bằng các biện pháp không dùng thuốc và sử dụng thuốc kéo dài với mục tiêu kiểm soát acid uric máu dưới 360 mmol/l (60 mg/l) với gút chưa có hạt tôphi và dưới 320mmol/l (50 mg/l) khi gút có hạt tôphi.</w:t>
      </w:r>
    </w:p>
    <w:p w14:paraId="0B5FDE53" w14:textId="77777777" w:rsidR="00353AF2" w:rsidRPr="009D5569" w:rsidRDefault="00353AF2" w:rsidP="00DD6A51">
      <w:pPr>
        <w:pStyle w:val="Heading3"/>
        <w:numPr>
          <w:ilvl w:val="1"/>
          <w:numId w:val="29"/>
        </w:numPr>
        <w:tabs>
          <w:tab w:val="left" w:pos="645"/>
        </w:tabs>
        <w:spacing w:before="0" w:line="360" w:lineRule="auto"/>
        <w:ind w:left="1134" w:hanging="992"/>
        <w:jc w:val="both"/>
        <w:rPr>
          <w:sz w:val="26"/>
          <w:szCs w:val="26"/>
        </w:rPr>
      </w:pPr>
      <w:r w:rsidRPr="009D5569">
        <w:rPr>
          <w:sz w:val="26"/>
          <w:szCs w:val="26"/>
        </w:rPr>
        <w:t>Điều trị cụ</w:t>
      </w:r>
      <w:r w:rsidRPr="001A6B73">
        <w:rPr>
          <w:sz w:val="26"/>
          <w:szCs w:val="26"/>
        </w:rPr>
        <w:t xml:space="preserve"> </w:t>
      </w:r>
      <w:r w:rsidRPr="009D5569">
        <w:rPr>
          <w:sz w:val="26"/>
          <w:szCs w:val="26"/>
        </w:rPr>
        <w:t>thể</w:t>
      </w:r>
    </w:p>
    <w:p w14:paraId="77E0BDA3" w14:textId="6D60EA87" w:rsidR="00353AF2" w:rsidRPr="001A6B73" w:rsidRDefault="00353AF2" w:rsidP="00DD6A51">
      <w:pPr>
        <w:pStyle w:val="Heading4"/>
        <w:keepNext w:val="0"/>
        <w:keepLines w:val="0"/>
        <w:widowControl w:val="0"/>
        <w:numPr>
          <w:ilvl w:val="0"/>
          <w:numId w:val="34"/>
        </w:numPr>
        <w:tabs>
          <w:tab w:val="left" w:pos="825"/>
        </w:tabs>
        <w:autoSpaceDE w:val="0"/>
        <w:autoSpaceDN w:val="0"/>
        <w:spacing w:before="180" w:line="360" w:lineRule="auto"/>
        <w:jc w:val="both"/>
        <w:rPr>
          <w:rFonts w:ascii="Times New Roman" w:hAnsi="Times New Roman" w:cs="Times New Roman"/>
          <w:b/>
          <w:i w:val="0"/>
          <w:color w:val="auto"/>
          <w:sz w:val="26"/>
          <w:szCs w:val="26"/>
        </w:rPr>
      </w:pPr>
      <w:r w:rsidRPr="001A6B73">
        <w:rPr>
          <w:rFonts w:ascii="Times New Roman" w:hAnsi="Times New Roman" w:cs="Times New Roman"/>
          <w:b/>
          <w:i w:val="0"/>
          <w:color w:val="auto"/>
          <w:sz w:val="26"/>
          <w:szCs w:val="26"/>
        </w:rPr>
        <w:lastRenderedPageBreak/>
        <w:t>Tăng acid máu không triệu chứng</w:t>
      </w:r>
    </w:p>
    <w:p w14:paraId="03D80BDB" w14:textId="34ED1F6A" w:rsidR="00353AF2" w:rsidRPr="009D5569" w:rsidRDefault="00353AF2" w:rsidP="00DD6A51">
      <w:pPr>
        <w:pStyle w:val="BodyText"/>
        <w:numPr>
          <w:ilvl w:val="0"/>
          <w:numId w:val="28"/>
        </w:numPr>
        <w:spacing w:line="360" w:lineRule="auto"/>
        <w:ind w:left="426" w:right="266"/>
        <w:rPr>
          <w:sz w:val="26"/>
          <w:szCs w:val="26"/>
        </w:rPr>
      </w:pPr>
      <w:r w:rsidRPr="009D5569">
        <w:rPr>
          <w:sz w:val="26"/>
          <w:szCs w:val="26"/>
        </w:rPr>
        <w:t>Tránh các chất có nhiều purin như tạng động vật, thịt, cá, tôm, cua…. Có</w:t>
      </w:r>
      <w:r w:rsidR="001A6B73">
        <w:rPr>
          <w:sz w:val="26"/>
          <w:szCs w:val="26"/>
          <w:lang w:val="en-US"/>
        </w:rPr>
        <w:t xml:space="preserve"> </w:t>
      </w:r>
      <w:r w:rsidRPr="009D5569">
        <w:rPr>
          <w:sz w:val="26"/>
          <w:szCs w:val="26"/>
        </w:rPr>
        <w:t>thể  ăn trứng,</w:t>
      </w:r>
      <w:r w:rsidR="001A6B73">
        <w:rPr>
          <w:sz w:val="26"/>
          <w:szCs w:val="26"/>
          <w:lang w:val="en-US"/>
        </w:rPr>
        <w:t xml:space="preserve"> </w:t>
      </w:r>
      <w:r w:rsidRPr="009D5569">
        <w:rPr>
          <w:sz w:val="26"/>
          <w:szCs w:val="26"/>
        </w:rPr>
        <w:t>hoa quả. Ăn thịt không quá 150g/24</w:t>
      </w:r>
      <w:r w:rsidRPr="001A6B73">
        <w:rPr>
          <w:sz w:val="26"/>
          <w:szCs w:val="26"/>
        </w:rPr>
        <w:t xml:space="preserve"> </w:t>
      </w:r>
      <w:r w:rsidRPr="009D5569">
        <w:rPr>
          <w:sz w:val="26"/>
          <w:szCs w:val="26"/>
        </w:rPr>
        <w:t>giờ.</w:t>
      </w:r>
    </w:p>
    <w:p w14:paraId="124B8AEE" w14:textId="77777777" w:rsidR="00353AF2" w:rsidRPr="009D5569" w:rsidRDefault="00353AF2" w:rsidP="00DD6A51">
      <w:pPr>
        <w:pStyle w:val="BodyText"/>
        <w:numPr>
          <w:ilvl w:val="0"/>
          <w:numId w:val="28"/>
        </w:numPr>
        <w:spacing w:line="360" w:lineRule="auto"/>
        <w:ind w:left="426" w:right="266"/>
        <w:rPr>
          <w:sz w:val="26"/>
          <w:szCs w:val="26"/>
        </w:rPr>
      </w:pPr>
      <w:r w:rsidRPr="009D5569">
        <w:rPr>
          <w:sz w:val="26"/>
          <w:szCs w:val="26"/>
        </w:rPr>
        <w:t>Không uống rượu, cần giảm cân, tập luyện thể dục thường</w:t>
      </w:r>
      <w:r w:rsidRPr="001A6B73">
        <w:rPr>
          <w:sz w:val="26"/>
          <w:szCs w:val="26"/>
        </w:rPr>
        <w:t xml:space="preserve"> </w:t>
      </w:r>
      <w:r w:rsidRPr="009D5569">
        <w:rPr>
          <w:sz w:val="26"/>
          <w:szCs w:val="26"/>
        </w:rPr>
        <w:t>xuyên…</w:t>
      </w:r>
    </w:p>
    <w:p w14:paraId="771D930A" w14:textId="77777777" w:rsidR="00353AF2" w:rsidRPr="009D5569" w:rsidRDefault="00353AF2" w:rsidP="00DD6A51">
      <w:pPr>
        <w:pStyle w:val="BodyText"/>
        <w:numPr>
          <w:ilvl w:val="0"/>
          <w:numId w:val="28"/>
        </w:numPr>
        <w:spacing w:line="360" w:lineRule="auto"/>
        <w:ind w:left="426" w:right="266"/>
        <w:rPr>
          <w:sz w:val="26"/>
          <w:szCs w:val="26"/>
        </w:rPr>
      </w:pPr>
      <w:r w:rsidRPr="009D5569">
        <w:rPr>
          <w:sz w:val="26"/>
          <w:szCs w:val="26"/>
        </w:rPr>
        <w:t>Uống nhiều nước, khoảng 2-4lít/24 giờ, đặc biệt là các loại nước khoáng có kiềm hoặc nước kiềm 14‰. Điều này sẽ làm tăng lượng nước tiểu trong 24 giờ, giúp hạn chế tối đa sự lắng đọng urat trong đường tiết</w:t>
      </w:r>
      <w:r w:rsidRPr="001A6B73">
        <w:rPr>
          <w:sz w:val="26"/>
          <w:szCs w:val="26"/>
        </w:rPr>
        <w:t xml:space="preserve"> </w:t>
      </w:r>
      <w:r w:rsidRPr="009D5569">
        <w:rPr>
          <w:sz w:val="26"/>
          <w:szCs w:val="26"/>
        </w:rPr>
        <w:t>niệu.</w:t>
      </w:r>
    </w:p>
    <w:p w14:paraId="449EEAE2" w14:textId="77777777" w:rsidR="00353AF2" w:rsidRPr="009D5569" w:rsidRDefault="00353AF2" w:rsidP="00DD6A51">
      <w:pPr>
        <w:pStyle w:val="BodyText"/>
        <w:numPr>
          <w:ilvl w:val="0"/>
          <w:numId w:val="28"/>
        </w:numPr>
        <w:spacing w:line="360" w:lineRule="auto"/>
        <w:ind w:left="426" w:right="266"/>
        <w:rPr>
          <w:sz w:val="26"/>
          <w:szCs w:val="26"/>
        </w:rPr>
      </w:pPr>
      <w:r w:rsidRPr="009D5569">
        <w:rPr>
          <w:sz w:val="26"/>
          <w:szCs w:val="26"/>
        </w:rPr>
        <w:t>Tránh các thuốc làm tăng acid uric máu, tránh các yếu tố làm khởi phát cơn gút cấp như stress, chấn thương…</w:t>
      </w:r>
    </w:p>
    <w:p w14:paraId="1FA5AA82" w14:textId="77D06782" w:rsidR="00353AF2" w:rsidRPr="009D5569" w:rsidRDefault="00353AF2" w:rsidP="00DD6A51">
      <w:pPr>
        <w:pStyle w:val="BodyText"/>
        <w:numPr>
          <w:ilvl w:val="0"/>
          <w:numId w:val="28"/>
        </w:numPr>
        <w:spacing w:line="360" w:lineRule="auto"/>
        <w:ind w:left="426" w:right="266"/>
        <w:rPr>
          <w:sz w:val="26"/>
          <w:szCs w:val="26"/>
        </w:rPr>
      </w:pPr>
      <w:r w:rsidRPr="001A6B73">
        <w:rPr>
          <w:sz w:val="26"/>
          <w:szCs w:val="26"/>
        </w:rPr>
        <w:t>Cân nhắc điều trị cho 1 số bệnh nhân có acid uric rất cao, có nguy cơ tổn thương thận, hoặc sỏi thận</w:t>
      </w:r>
      <w:r w:rsidR="001A6B73">
        <w:rPr>
          <w:sz w:val="26"/>
          <w:szCs w:val="26"/>
          <w:lang w:val="en-US"/>
        </w:rPr>
        <w:t xml:space="preserve"> </w:t>
      </w:r>
      <w:r w:rsidRPr="001A6B73">
        <w:rPr>
          <w:sz w:val="26"/>
          <w:szCs w:val="26"/>
        </w:rPr>
        <w:t>(acid uric niệu &gt; 800 mg/24h) hoặc có nguy cơ tim mạch cao.</w:t>
      </w:r>
    </w:p>
    <w:p w14:paraId="318AFEDD" w14:textId="77777777" w:rsidR="00353AF2" w:rsidRPr="001A6B73" w:rsidRDefault="00353AF2" w:rsidP="00DD6A51">
      <w:pPr>
        <w:pStyle w:val="Heading4"/>
        <w:keepNext w:val="0"/>
        <w:keepLines w:val="0"/>
        <w:widowControl w:val="0"/>
        <w:numPr>
          <w:ilvl w:val="0"/>
          <w:numId w:val="34"/>
        </w:numPr>
        <w:tabs>
          <w:tab w:val="left" w:pos="825"/>
        </w:tabs>
        <w:autoSpaceDE w:val="0"/>
        <w:autoSpaceDN w:val="0"/>
        <w:spacing w:before="180" w:line="360" w:lineRule="auto"/>
        <w:jc w:val="both"/>
        <w:rPr>
          <w:rFonts w:ascii="Times New Roman" w:hAnsi="Times New Roman" w:cs="Times New Roman"/>
          <w:b/>
          <w:i w:val="0"/>
          <w:color w:val="auto"/>
          <w:sz w:val="26"/>
          <w:szCs w:val="26"/>
        </w:rPr>
      </w:pPr>
      <w:r w:rsidRPr="001A6B73">
        <w:rPr>
          <w:rFonts w:ascii="Times New Roman" w:hAnsi="Times New Roman" w:cs="Times New Roman"/>
          <w:b/>
          <w:i w:val="0"/>
          <w:color w:val="auto"/>
          <w:sz w:val="26"/>
          <w:szCs w:val="26"/>
        </w:rPr>
        <w:t xml:space="preserve">Điều trị các đợt viêm khớp gout cấp: </w:t>
      </w:r>
    </w:p>
    <w:p w14:paraId="3C60429F" w14:textId="29C4BC4C" w:rsidR="00353AF2" w:rsidRPr="009D5569" w:rsidRDefault="00353AF2" w:rsidP="00DD6A51">
      <w:pPr>
        <w:pStyle w:val="BodyText"/>
        <w:numPr>
          <w:ilvl w:val="0"/>
          <w:numId w:val="28"/>
        </w:numPr>
        <w:spacing w:line="360" w:lineRule="auto"/>
        <w:ind w:left="426" w:right="266"/>
        <w:rPr>
          <w:sz w:val="26"/>
          <w:szCs w:val="26"/>
        </w:rPr>
      </w:pPr>
      <w:r w:rsidRPr="001A6B73">
        <w:rPr>
          <w:sz w:val="26"/>
          <w:szCs w:val="26"/>
        </w:rPr>
        <w:t>Lựa chọn Colchicin, NSAID, hoặc Corticosteroid đơn thuần hoặc phối hợp</w:t>
      </w:r>
      <w:r w:rsidR="001A6B73">
        <w:rPr>
          <w:sz w:val="26"/>
          <w:szCs w:val="26"/>
          <w:lang w:val="en-US"/>
        </w:rPr>
        <w:t xml:space="preserve"> </w:t>
      </w:r>
      <w:r w:rsidRPr="001A6B73">
        <w:rPr>
          <w:sz w:val="26"/>
          <w:szCs w:val="26"/>
        </w:rPr>
        <w:t>(NSAID/ corticoid với liều thấp colchicine, hoặc NSAID</w:t>
      </w:r>
      <w:r w:rsidR="001A6B73">
        <w:rPr>
          <w:sz w:val="26"/>
          <w:szCs w:val="26"/>
          <w:lang w:val="en-US"/>
        </w:rPr>
        <w:t xml:space="preserve"> </w:t>
      </w:r>
      <w:r w:rsidRPr="001A6B73">
        <w:rPr>
          <w:sz w:val="26"/>
          <w:szCs w:val="26"/>
        </w:rPr>
        <w:t>+ tiêm khớp corticoid) tùy thuộc vào cơ địa bệnh nhân, chống chỉ định, nguy cơ tác dụng</w:t>
      </w:r>
      <w:r w:rsidR="001A6B73">
        <w:rPr>
          <w:sz w:val="26"/>
          <w:szCs w:val="26"/>
          <w:lang w:val="en-US"/>
        </w:rPr>
        <w:t xml:space="preserve"> </w:t>
      </w:r>
      <w:r w:rsidRPr="001A6B73">
        <w:rPr>
          <w:sz w:val="26"/>
          <w:szCs w:val="26"/>
        </w:rPr>
        <w:t>phụ.</w:t>
      </w:r>
    </w:p>
    <w:p w14:paraId="0C514E42" w14:textId="77777777" w:rsidR="001A6B73" w:rsidRDefault="00353AF2" w:rsidP="00DD6A51">
      <w:pPr>
        <w:pStyle w:val="BodyText"/>
        <w:numPr>
          <w:ilvl w:val="0"/>
          <w:numId w:val="30"/>
        </w:numPr>
        <w:spacing w:before="0" w:line="360" w:lineRule="auto"/>
        <w:ind w:right="266"/>
        <w:rPr>
          <w:b/>
          <w:sz w:val="26"/>
          <w:szCs w:val="26"/>
        </w:rPr>
      </w:pPr>
      <w:r w:rsidRPr="001A6B73">
        <w:rPr>
          <w:b/>
          <w:sz w:val="26"/>
          <w:szCs w:val="26"/>
        </w:rPr>
        <w:t>Colchicin:</w:t>
      </w:r>
    </w:p>
    <w:p w14:paraId="1DA3C571" w14:textId="5E40FA15" w:rsidR="00353AF2" w:rsidRPr="001A6B73" w:rsidRDefault="00353AF2" w:rsidP="00DD6A51">
      <w:pPr>
        <w:pStyle w:val="BodyText"/>
        <w:numPr>
          <w:ilvl w:val="0"/>
          <w:numId w:val="35"/>
        </w:numPr>
        <w:spacing w:before="0" w:line="360" w:lineRule="auto"/>
        <w:ind w:right="266"/>
        <w:rPr>
          <w:b/>
          <w:sz w:val="26"/>
          <w:szCs w:val="26"/>
        </w:rPr>
      </w:pPr>
      <w:r w:rsidRPr="001A6B73">
        <w:rPr>
          <w:sz w:val="26"/>
          <w:szCs w:val="26"/>
        </w:rPr>
        <w:t>Với mục đích chống viêm, giảm đau trong cơn gút cấp hoặc đợt cấp của gút mạn tính: theo quan điểm mới colchicin không nên sử dụng liều cao vì có tác dụng không mong muốn. Nên sử dụng liều 1mg/ngày, nhưng cần dùng càng sớm càng tốt (trong vòng 12 giờ đầu khởi phát cơn gút). Phối hợp với một thuốc nhóm chống viêm không steroid nếu không có chống chỉ định của thuốc này) để đạt hiệu quả cắt cơn gút.</w:t>
      </w:r>
    </w:p>
    <w:p w14:paraId="2EDA3E64" w14:textId="7F308E38" w:rsidR="00353AF2" w:rsidRPr="009D5569" w:rsidRDefault="00353AF2" w:rsidP="00DD6A51">
      <w:pPr>
        <w:pStyle w:val="BodyText"/>
        <w:numPr>
          <w:ilvl w:val="0"/>
          <w:numId w:val="35"/>
        </w:numPr>
        <w:spacing w:before="0" w:line="360" w:lineRule="auto"/>
        <w:ind w:right="266"/>
        <w:rPr>
          <w:sz w:val="26"/>
          <w:szCs w:val="26"/>
        </w:rPr>
      </w:pPr>
      <w:r w:rsidRPr="009D5569">
        <w:rPr>
          <w:sz w:val="26"/>
          <w:szCs w:val="26"/>
        </w:rPr>
        <w:t xml:space="preserve">Trường hợp </w:t>
      </w:r>
      <w:r w:rsidR="001A6B73">
        <w:rPr>
          <w:sz w:val="26"/>
          <w:szCs w:val="26"/>
          <w:lang w:val="en-US"/>
        </w:rPr>
        <w:t xml:space="preserve">người </w:t>
      </w:r>
      <w:r w:rsidRPr="009D5569">
        <w:rPr>
          <w:sz w:val="26"/>
          <w:szCs w:val="26"/>
        </w:rPr>
        <w:t>bệnh có chống chỉ định với chống viêm không steroid, colchicin dùng với liều 1mg x3 lần trong ngày đầu tiên (có thể cho 0,5mg cách nhau 2 giờ một lần, nhưng tối đa không quá 4mg), 1mg x2 lần trong ngày thứ 2, 1mg từ ngày thứ 3 trở đi. Thông thường sau 24-48 giờ sử dụng, triệu chứng tại khớp sẽ giảm nhanh.</w:t>
      </w:r>
    </w:p>
    <w:p w14:paraId="059860F7" w14:textId="56784F41" w:rsidR="00353AF2" w:rsidRPr="009D5569" w:rsidRDefault="00353AF2" w:rsidP="00DD6A51">
      <w:pPr>
        <w:pStyle w:val="BodyText"/>
        <w:numPr>
          <w:ilvl w:val="0"/>
          <w:numId w:val="35"/>
        </w:numPr>
        <w:spacing w:before="0" w:line="360" w:lineRule="auto"/>
        <w:ind w:right="266"/>
        <w:rPr>
          <w:sz w:val="26"/>
          <w:szCs w:val="26"/>
        </w:rPr>
      </w:pPr>
      <w:r w:rsidRPr="009D5569">
        <w:rPr>
          <w:sz w:val="26"/>
          <w:szCs w:val="26"/>
        </w:rPr>
        <w:lastRenderedPageBreak/>
        <w:t>Test colchicin: hai ngày đầu: 1mg x3 lần; triệu chứng tại khớp sẽ giảm nhanh sau 48 giờ. Tuy nhiên, sau 48 giờ thường có tiêu chảy, cần kết hợp một số thuốc như loperamid 2mg ngày 02 –viên, chia 2 lần nhằm kiểm soát triệu chứng này.</w:t>
      </w:r>
    </w:p>
    <w:p w14:paraId="41CCA704" w14:textId="57B1A85A" w:rsidR="00353AF2" w:rsidRPr="009D5569" w:rsidRDefault="00353AF2" w:rsidP="00DD6A51">
      <w:pPr>
        <w:pStyle w:val="BodyText"/>
        <w:numPr>
          <w:ilvl w:val="0"/>
          <w:numId w:val="35"/>
        </w:numPr>
        <w:spacing w:before="0" w:line="360" w:lineRule="auto"/>
        <w:ind w:right="266"/>
        <w:rPr>
          <w:sz w:val="26"/>
          <w:szCs w:val="26"/>
        </w:rPr>
      </w:pPr>
      <w:r w:rsidRPr="009D5569">
        <w:rPr>
          <w:sz w:val="26"/>
          <w:szCs w:val="26"/>
        </w:rPr>
        <w:t xml:space="preserve">Dự phòng tái phát: 0,5- 1,2 mg uống 1-2 lần/ngày, trung bình 1mg/ngày kéo dài ít nhất 6 tháng. Cần chú ý giảm liều ở </w:t>
      </w:r>
      <w:r w:rsidR="001A6B73">
        <w:rPr>
          <w:sz w:val="26"/>
          <w:szCs w:val="26"/>
          <w:lang w:val="en-US"/>
        </w:rPr>
        <w:t xml:space="preserve">người </w:t>
      </w:r>
      <w:r w:rsidRPr="009D5569">
        <w:rPr>
          <w:sz w:val="26"/>
          <w:szCs w:val="26"/>
        </w:rPr>
        <w:t>bệnh có bệnh thận mạn tính, lớn tuổi (trên 70 tuổi)… Trong trường hợp không sử dụng được bằng cochicine có thể dự phòng bằng các thuốc kháng viêm không steroid bằng liều</w:t>
      </w:r>
      <w:r w:rsidRPr="001A6B73">
        <w:rPr>
          <w:sz w:val="26"/>
          <w:szCs w:val="26"/>
        </w:rPr>
        <w:t xml:space="preserve"> </w:t>
      </w:r>
      <w:r w:rsidRPr="009D5569">
        <w:rPr>
          <w:sz w:val="26"/>
          <w:szCs w:val="26"/>
        </w:rPr>
        <w:t>thấp.</w:t>
      </w:r>
    </w:p>
    <w:p w14:paraId="633022A3" w14:textId="0B3C53A7" w:rsidR="00353AF2" w:rsidRPr="001A6B73" w:rsidRDefault="00353AF2" w:rsidP="00DD6A51">
      <w:pPr>
        <w:pStyle w:val="BodyText"/>
        <w:numPr>
          <w:ilvl w:val="0"/>
          <w:numId w:val="30"/>
        </w:numPr>
        <w:spacing w:before="0" w:line="360" w:lineRule="auto"/>
        <w:ind w:right="266"/>
        <w:rPr>
          <w:b/>
          <w:sz w:val="26"/>
          <w:szCs w:val="26"/>
        </w:rPr>
      </w:pPr>
      <w:r w:rsidRPr="001A6B73">
        <w:rPr>
          <w:b/>
          <w:sz w:val="26"/>
          <w:szCs w:val="26"/>
        </w:rPr>
        <w:t>Thuốc kháng viêm không steroid</w:t>
      </w:r>
      <w:r w:rsidR="001D1FB0">
        <w:rPr>
          <w:b/>
          <w:sz w:val="26"/>
          <w:szCs w:val="26"/>
          <w:lang w:val="en-US"/>
        </w:rPr>
        <w:t>:</w:t>
      </w:r>
    </w:p>
    <w:p w14:paraId="48ADAD6B" w14:textId="77777777" w:rsidR="00353AF2" w:rsidRPr="009D5569" w:rsidRDefault="00353AF2" w:rsidP="00DD6A51">
      <w:pPr>
        <w:pStyle w:val="BodyText"/>
        <w:numPr>
          <w:ilvl w:val="0"/>
          <w:numId w:val="35"/>
        </w:numPr>
        <w:spacing w:before="0" w:line="360" w:lineRule="auto"/>
        <w:ind w:right="266"/>
        <w:rPr>
          <w:sz w:val="26"/>
          <w:szCs w:val="26"/>
        </w:rPr>
      </w:pPr>
      <w:r w:rsidRPr="009D5569">
        <w:rPr>
          <w:sz w:val="26"/>
          <w:szCs w:val="26"/>
        </w:rPr>
        <w:t>Có thể dùng một trong các thuốc sau: Indometacin, Naproxen, Ibuprofen, Ketoprofen, Piroxicam, Diclofena, các nhóm thuốc ức chế chọn lọc COX-2 (meloxicam, celecoxib, etoricoxib...). Lưu ý các chống chỉ định của thuốc này (viêm loét dạ dày tá tràng, suy thận…). Có thể dùng đơn độc hoặc kết hợp với colchicin.</w:t>
      </w:r>
    </w:p>
    <w:p w14:paraId="49E2B26B" w14:textId="1FBDD423" w:rsidR="00353AF2" w:rsidRPr="001A6B73" w:rsidRDefault="00353AF2" w:rsidP="00DD6A51">
      <w:pPr>
        <w:pStyle w:val="BodyText"/>
        <w:numPr>
          <w:ilvl w:val="0"/>
          <w:numId w:val="35"/>
        </w:numPr>
        <w:spacing w:before="0" w:line="360" w:lineRule="auto"/>
        <w:ind w:right="266"/>
        <w:rPr>
          <w:sz w:val="26"/>
          <w:szCs w:val="26"/>
        </w:rPr>
      </w:pPr>
      <w:r w:rsidRPr="001A6B73">
        <w:rPr>
          <w:sz w:val="26"/>
          <w:szCs w:val="26"/>
        </w:rPr>
        <w:t>Sử dụng liều kháng viêm tối đa cho phép trong 5-7 ngày sau đó dùng liều thông thường cho đến ít nhất là 2-3 ngày sau khi khớp hết sưng đau hoàn toàn</w:t>
      </w:r>
      <w:r w:rsidR="001A6B73">
        <w:rPr>
          <w:sz w:val="26"/>
          <w:szCs w:val="26"/>
          <w:lang w:val="en-US"/>
        </w:rPr>
        <w:t xml:space="preserve"> </w:t>
      </w:r>
      <w:r w:rsidRPr="001A6B73">
        <w:rPr>
          <w:sz w:val="26"/>
          <w:szCs w:val="26"/>
        </w:rPr>
        <w:t>(tổng thời gian khoảng 10-15 ngày), hoặc tiếp tục chuyển sang dùng kéo dài NSAID sau cơn cấp với mục đích dự phòng.</w:t>
      </w:r>
    </w:p>
    <w:p w14:paraId="18E396D4" w14:textId="507FF60A" w:rsidR="00353AF2" w:rsidRPr="001A6B73" w:rsidRDefault="00353AF2" w:rsidP="00DD6A51">
      <w:pPr>
        <w:pStyle w:val="BodyText"/>
        <w:numPr>
          <w:ilvl w:val="0"/>
          <w:numId w:val="35"/>
        </w:numPr>
        <w:spacing w:before="0" w:line="360" w:lineRule="auto"/>
        <w:ind w:right="266"/>
        <w:rPr>
          <w:sz w:val="26"/>
          <w:szCs w:val="26"/>
        </w:rPr>
      </w:pPr>
      <w:r w:rsidRPr="001A6B73">
        <w:rPr>
          <w:sz w:val="26"/>
          <w:szCs w:val="26"/>
        </w:rPr>
        <w:t>Lưu ý tác dụng phụ của NSAID</w:t>
      </w:r>
      <w:r w:rsidR="001A6B73">
        <w:rPr>
          <w:sz w:val="26"/>
          <w:szCs w:val="26"/>
          <w:lang w:val="en-US"/>
        </w:rPr>
        <w:t xml:space="preserve"> </w:t>
      </w:r>
      <w:r w:rsidRPr="001A6B73">
        <w:rPr>
          <w:sz w:val="26"/>
          <w:szCs w:val="26"/>
        </w:rPr>
        <w:t>(tiêu hóa, thận, tim mạch…) chống chỉ định khi suy thận, thận trọng ở người già.Nếu nguy cơ tiêu hóa cao chọn nhóm ức chế chọn lọc COX-2, hoặc phối hợp thuốc ức chế bơm proton.</w:t>
      </w:r>
    </w:p>
    <w:p w14:paraId="6E1E0254" w14:textId="2B0C5430" w:rsidR="00353AF2" w:rsidRPr="009D5569" w:rsidRDefault="001D1FB0" w:rsidP="00DD6A51">
      <w:pPr>
        <w:pStyle w:val="BodyText"/>
        <w:spacing w:line="360" w:lineRule="auto"/>
        <w:ind w:left="1134" w:right="207" w:firstLine="0"/>
        <w:rPr>
          <w:sz w:val="26"/>
          <w:szCs w:val="26"/>
          <w:lang w:val="en-US"/>
        </w:rPr>
      </w:pPr>
      <w:r>
        <w:rPr>
          <w:sz w:val="26"/>
          <w:szCs w:val="26"/>
          <w:lang w:val="en-US"/>
        </w:rPr>
        <w:t xml:space="preserve">+ </w:t>
      </w:r>
      <w:r w:rsidR="00353AF2" w:rsidRPr="009D5569">
        <w:rPr>
          <w:sz w:val="26"/>
          <w:szCs w:val="26"/>
          <w:lang w:val="en-US"/>
        </w:rPr>
        <w:t>Etoricoxib 120 mg/ngày</w:t>
      </w:r>
      <w:r w:rsidR="001A6B73">
        <w:rPr>
          <w:sz w:val="26"/>
          <w:szCs w:val="26"/>
          <w:lang w:val="en-US"/>
        </w:rPr>
        <w:t xml:space="preserve"> </w:t>
      </w:r>
      <w:r w:rsidR="00353AF2" w:rsidRPr="009D5569">
        <w:rPr>
          <w:sz w:val="26"/>
          <w:szCs w:val="26"/>
          <w:lang w:val="en-US"/>
        </w:rPr>
        <w:t>(sau 5-7 ngày chuyển sang liều 60-90 mg/ngày)</w:t>
      </w:r>
    </w:p>
    <w:p w14:paraId="104C3D04" w14:textId="7D20CF0F" w:rsidR="00353AF2" w:rsidRPr="009D5569" w:rsidRDefault="001D1FB0" w:rsidP="00DD6A51">
      <w:pPr>
        <w:pStyle w:val="BodyText"/>
        <w:spacing w:line="360" w:lineRule="auto"/>
        <w:ind w:left="1134" w:right="207" w:firstLine="0"/>
        <w:rPr>
          <w:sz w:val="26"/>
          <w:szCs w:val="26"/>
          <w:lang w:val="en-US"/>
        </w:rPr>
      </w:pPr>
      <w:r>
        <w:rPr>
          <w:sz w:val="26"/>
          <w:szCs w:val="26"/>
          <w:lang w:val="en-US"/>
        </w:rPr>
        <w:t xml:space="preserve">+ </w:t>
      </w:r>
      <w:r w:rsidR="00353AF2" w:rsidRPr="009D5569">
        <w:rPr>
          <w:sz w:val="26"/>
          <w:szCs w:val="26"/>
          <w:lang w:val="en-US"/>
        </w:rPr>
        <w:t>Celecoxib 200-400 mg/ngày</w:t>
      </w:r>
      <w:r w:rsidR="001A6B73">
        <w:rPr>
          <w:sz w:val="26"/>
          <w:szCs w:val="26"/>
          <w:lang w:val="en-US"/>
        </w:rPr>
        <w:t xml:space="preserve"> </w:t>
      </w:r>
      <w:r w:rsidR="00353AF2" w:rsidRPr="009D5569">
        <w:rPr>
          <w:sz w:val="26"/>
          <w:szCs w:val="26"/>
          <w:lang w:val="en-US"/>
        </w:rPr>
        <w:t>(ngày đầu có thể dùng liều cao 400-600 mg)</w:t>
      </w:r>
    </w:p>
    <w:p w14:paraId="57CD7687" w14:textId="188E85CC" w:rsidR="00353AF2" w:rsidRPr="009D5569" w:rsidRDefault="001D1FB0" w:rsidP="00DD6A51">
      <w:pPr>
        <w:pStyle w:val="BodyText"/>
        <w:spacing w:line="360" w:lineRule="auto"/>
        <w:ind w:left="1134" w:right="207" w:firstLine="0"/>
        <w:rPr>
          <w:sz w:val="26"/>
          <w:szCs w:val="26"/>
          <w:lang w:val="en-US"/>
        </w:rPr>
      </w:pPr>
      <w:r>
        <w:rPr>
          <w:sz w:val="26"/>
          <w:szCs w:val="26"/>
          <w:lang w:val="en-US"/>
        </w:rPr>
        <w:t xml:space="preserve">+ </w:t>
      </w:r>
      <w:r w:rsidR="00353AF2" w:rsidRPr="009D5569">
        <w:rPr>
          <w:sz w:val="26"/>
          <w:szCs w:val="26"/>
          <w:lang w:val="en-US"/>
        </w:rPr>
        <w:t>Meloxicam 15mg/ngày</w:t>
      </w:r>
      <w:r w:rsidR="001A6B73">
        <w:rPr>
          <w:sz w:val="26"/>
          <w:szCs w:val="26"/>
          <w:lang w:val="en-US"/>
        </w:rPr>
        <w:t xml:space="preserve"> </w:t>
      </w:r>
      <w:r w:rsidR="00353AF2" w:rsidRPr="009D5569">
        <w:rPr>
          <w:sz w:val="26"/>
          <w:szCs w:val="26"/>
          <w:lang w:val="en-US"/>
        </w:rPr>
        <w:t>(tiêm bắp hoặc uống).</w:t>
      </w:r>
    </w:p>
    <w:p w14:paraId="0048FC1A" w14:textId="25191D29" w:rsidR="00353AF2" w:rsidRPr="009D5569" w:rsidRDefault="001D1FB0" w:rsidP="00DD6A51">
      <w:pPr>
        <w:pStyle w:val="BodyText"/>
        <w:spacing w:line="360" w:lineRule="auto"/>
        <w:ind w:left="1134" w:right="207" w:firstLine="0"/>
        <w:rPr>
          <w:sz w:val="26"/>
          <w:szCs w:val="26"/>
          <w:lang w:val="en-US"/>
        </w:rPr>
      </w:pPr>
      <w:r>
        <w:rPr>
          <w:sz w:val="26"/>
          <w:szCs w:val="26"/>
          <w:lang w:val="en-US"/>
        </w:rPr>
        <w:t xml:space="preserve">+ </w:t>
      </w:r>
      <w:r w:rsidR="00353AF2" w:rsidRPr="009D5569">
        <w:rPr>
          <w:sz w:val="26"/>
          <w:szCs w:val="26"/>
          <w:lang w:val="en-US"/>
        </w:rPr>
        <w:t>Diclophenac 50mg x3 lần/ngày hoặc 75 mg x2 lần/</w:t>
      </w:r>
      <w:proofErr w:type="gramStart"/>
      <w:r w:rsidR="00353AF2" w:rsidRPr="009D5569">
        <w:rPr>
          <w:sz w:val="26"/>
          <w:szCs w:val="26"/>
          <w:lang w:val="en-US"/>
        </w:rPr>
        <w:t>ngày(</w:t>
      </w:r>
      <w:proofErr w:type="gramEnd"/>
      <w:r w:rsidR="00353AF2" w:rsidRPr="009D5569">
        <w:rPr>
          <w:sz w:val="26"/>
          <w:szCs w:val="26"/>
          <w:lang w:val="en-US"/>
        </w:rPr>
        <w:t>tiêm bắp hoặc uống).</w:t>
      </w:r>
    </w:p>
    <w:p w14:paraId="0AFC29DF" w14:textId="63777950" w:rsidR="00353AF2" w:rsidRPr="009D5569" w:rsidRDefault="001D1FB0" w:rsidP="00DD6A51">
      <w:pPr>
        <w:pStyle w:val="BodyText"/>
        <w:spacing w:line="360" w:lineRule="auto"/>
        <w:ind w:left="1134" w:right="207" w:firstLine="0"/>
        <w:rPr>
          <w:sz w:val="26"/>
          <w:szCs w:val="26"/>
          <w:lang w:val="en-US"/>
        </w:rPr>
      </w:pPr>
      <w:r>
        <w:rPr>
          <w:sz w:val="26"/>
          <w:szCs w:val="26"/>
          <w:lang w:val="en-US"/>
        </w:rPr>
        <w:t>+ P</w:t>
      </w:r>
      <w:r w:rsidR="00353AF2" w:rsidRPr="009D5569">
        <w:rPr>
          <w:sz w:val="26"/>
          <w:szCs w:val="26"/>
          <w:lang w:val="en-US"/>
        </w:rPr>
        <w:t>iroxicam 20 mg/ngày</w:t>
      </w:r>
      <w:r>
        <w:rPr>
          <w:sz w:val="26"/>
          <w:szCs w:val="26"/>
          <w:lang w:val="en-US"/>
        </w:rPr>
        <w:t xml:space="preserve"> </w:t>
      </w:r>
      <w:r w:rsidR="00353AF2" w:rsidRPr="009D5569">
        <w:rPr>
          <w:sz w:val="26"/>
          <w:szCs w:val="26"/>
          <w:lang w:val="en-US"/>
        </w:rPr>
        <w:t>(tiêm bắp hoặc uống).</w:t>
      </w:r>
    </w:p>
    <w:p w14:paraId="06DEFAE0" w14:textId="381EE2F4" w:rsidR="00353AF2" w:rsidRPr="009D5569" w:rsidRDefault="001D1FB0" w:rsidP="00DD6A51">
      <w:pPr>
        <w:pStyle w:val="BodyText"/>
        <w:spacing w:line="360" w:lineRule="auto"/>
        <w:ind w:left="1134" w:right="207" w:firstLine="0"/>
        <w:rPr>
          <w:sz w:val="26"/>
          <w:szCs w:val="26"/>
          <w:lang w:val="en-US"/>
        </w:rPr>
      </w:pPr>
      <w:r>
        <w:rPr>
          <w:sz w:val="26"/>
          <w:szCs w:val="26"/>
          <w:lang w:val="en-US"/>
        </w:rPr>
        <w:t xml:space="preserve">+ </w:t>
      </w:r>
      <w:r w:rsidR="00353AF2" w:rsidRPr="009D5569">
        <w:rPr>
          <w:sz w:val="26"/>
          <w:szCs w:val="26"/>
          <w:lang w:val="en-US"/>
        </w:rPr>
        <w:t>Naproxen 500mg x2 lần/ngày.</w:t>
      </w:r>
    </w:p>
    <w:p w14:paraId="334B2155" w14:textId="77777777" w:rsidR="00353AF2" w:rsidRPr="001D1FB0" w:rsidRDefault="00353AF2" w:rsidP="00DD6A51">
      <w:pPr>
        <w:pStyle w:val="BodyText"/>
        <w:numPr>
          <w:ilvl w:val="0"/>
          <w:numId w:val="30"/>
        </w:numPr>
        <w:spacing w:line="360" w:lineRule="auto"/>
        <w:ind w:right="266"/>
        <w:rPr>
          <w:b/>
          <w:sz w:val="26"/>
          <w:szCs w:val="26"/>
        </w:rPr>
      </w:pPr>
      <w:r w:rsidRPr="001D1FB0">
        <w:rPr>
          <w:b/>
          <w:sz w:val="26"/>
          <w:szCs w:val="26"/>
        </w:rPr>
        <w:t>Corticoid</w:t>
      </w:r>
    </w:p>
    <w:p w14:paraId="644A8CC7" w14:textId="3BA5356D" w:rsidR="00353AF2" w:rsidRPr="009D5569" w:rsidRDefault="00353AF2" w:rsidP="00DD6A51">
      <w:pPr>
        <w:pStyle w:val="BodyText"/>
        <w:numPr>
          <w:ilvl w:val="0"/>
          <w:numId w:val="35"/>
        </w:numPr>
        <w:spacing w:before="0" w:line="360" w:lineRule="auto"/>
        <w:ind w:right="266"/>
        <w:rPr>
          <w:sz w:val="26"/>
          <w:szCs w:val="26"/>
        </w:rPr>
      </w:pPr>
      <w:r w:rsidRPr="009D5569">
        <w:rPr>
          <w:sz w:val="26"/>
          <w:szCs w:val="26"/>
        </w:rPr>
        <w:t>Corticoid đường toàn thân được chỉ định khi các thuốc trên không hiệu quả hoặc có chống chỉ định, cần rất hạn chế và dùng</w:t>
      </w:r>
      <w:r w:rsidR="001D1FB0">
        <w:rPr>
          <w:sz w:val="26"/>
          <w:szCs w:val="26"/>
          <w:lang w:val="en-US"/>
        </w:rPr>
        <w:t xml:space="preserve"> </w:t>
      </w:r>
      <w:r w:rsidRPr="009D5569">
        <w:rPr>
          <w:sz w:val="26"/>
          <w:szCs w:val="26"/>
        </w:rPr>
        <w:t>ngắn ngày. Đường tại chỗ (tiêm corticoid trực tiếp vào khớp viêm) phải được thực hiện bởi thầy thuốc chuyên khoa cơ xương khớp sau khi loại trừ viêm khớp nhiễm khuẩn.</w:t>
      </w:r>
    </w:p>
    <w:p w14:paraId="1B078B82" w14:textId="1FDC1867" w:rsidR="00353AF2" w:rsidRPr="001D1FB0" w:rsidRDefault="00353AF2" w:rsidP="00DD6A51">
      <w:pPr>
        <w:pStyle w:val="BodyText"/>
        <w:numPr>
          <w:ilvl w:val="0"/>
          <w:numId w:val="35"/>
        </w:numPr>
        <w:spacing w:before="0" w:line="360" w:lineRule="auto"/>
        <w:ind w:right="266"/>
        <w:rPr>
          <w:sz w:val="26"/>
          <w:szCs w:val="26"/>
        </w:rPr>
      </w:pPr>
      <w:r w:rsidRPr="001D1FB0">
        <w:rPr>
          <w:sz w:val="26"/>
          <w:szCs w:val="26"/>
        </w:rPr>
        <w:t>Uống</w:t>
      </w:r>
      <w:r w:rsidR="001D1FB0">
        <w:rPr>
          <w:sz w:val="26"/>
          <w:szCs w:val="26"/>
          <w:lang w:val="en-US"/>
        </w:rPr>
        <w:t xml:space="preserve"> </w:t>
      </w:r>
      <w:r w:rsidRPr="001D1FB0">
        <w:rPr>
          <w:sz w:val="26"/>
          <w:szCs w:val="26"/>
        </w:rPr>
        <w:t>liều tương đương prednisolone 30-50 mg/ngày hoặc tiêm</w:t>
      </w:r>
      <w:r w:rsidR="001D1FB0">
        <w:rPr>
          <w:sz w:val="26"/>
          <w:szCs w:val="26"/>
          <w:lang w:val="en-US"/>
        </w:rPr>
        <w:t xml:space="preserve"> </w:t>
      </w:r>
      <w:r w:rsidRPr="001D1FB0">
        <w:rPr>
          <w:sz w:val="26"/>
          <w:szCs w:val="26"/>
        </w:rPr>
        <w:t>methylprednisolone TM trong 3</w:t>
      </w:r>
      <w:r w:rsidR="001D1FB0">
        <w:rPr>
          <w:sz w:val="26"/>
          <w:szCs w:val="26"/>
          <w:lang w:val="en-US"/>
        </w:rPr>
        <w:t xml:space="preserve"> </w:t>
      </w:r>
      <w:r w:rsidRPr="001D1FB0">
        <w:rPr>
          <w:sz w:val="26"/>
          <w:szCs w:val="26"/>
        </w:rPr>
        <w:t>ngày, sau đó giảm dần liều khi có đáp ứng và có thể ngưng sau 10-14 ngày.</w:t>
      </w:r>
    </w:p>
    <w:p w14:paraId="0B7FAC35" w14:textId="40967BAD" w:rsidR="00353AF2" w:rsidRPr="001D1FB0" w:rsidRDefault="00353AF2" w:rsidP="00DD6A51">
      <w:pPr>
        <w:pStyle w:val="BodyText"/>
        <w:numPr>
          <w:ilvl w:val="0"/>
          <w:numId w:val="35"/>
        </w:numPr>
        <w:spacing w:before="0" w:line="360" w:lineRule="auto"/>
        <w:ind w:right="266"/>
        <w:rPr>
          <w:sz w:val="26"/>
          <w:szCs w:val="26"/>
        </w:rPr>
      </w:pPr>
      <w:r w:rsidRPr="001D1FB0">
        <w:rPr>
          <w:sz w:val="26"/>
          <w:szCs w:val="26"/>
        </w:rPr>
        <w:t>Tiêm tại khớp: Methylprednisolone acetate</w:t>
      </w:r>
      <w:r w:rsidR="001D1FB0">
        <w:rPr>
          <w:sz w:val="26"/>
          <w:szCs w:val="26"/>
          <w:lang w:val="en-US"/>
        </w:rPr>
        <w:t xml:space="preserve"> </w:t>
      </w:r>
      <w:r w:rsidRPr="001D1FB0">
        <w:rPr>
          <w:sz w:val="26"/>
          <w:szCs w:val="26"/>
        </w:rPr>
        <w:t>(Depo-Medrol) hoặc betamethasone dipropionate/phosphate</w:t>
      </w:r>
      <w:r w:rsidR="001D1FB0">
        <w:rPr>
          <w:sz w:val="26"/>
          <w:szCs w:val="26"/>
          <w:lang w:val="en-US"/>
        </w:rPr>
        <w:t xml:space="preserve"> </w:t>
      </w:r>
      <w:r w:rsidRPr="001D1FB0">
        <w:rPr>
          <w:sz w:val="26"/>
          <w:szCs w:val="26"/>
        </w:rPr>
        <w:t>(Diprospan) khi chỉ viêm một hoặc vài khớp</w:t>
      </w:r>
      <w:r w:rsidR="001D1FB0">
        <w:rPr>
          <w:sz w:val="26"/>
          <w:szCs w:val="26"/>
          <w:lang w:val="en-US"/>
        </w:rPr>
        <w:t xml:space="preserve"> </w:t>
      </w:r>
      <w:r w:rsidRPr="001D1FB0">
        <w:rPr>
          <w:sz w:val="26"/>
          <w:szCs w:val="26"/>
        </w:rPr>
        <w:t>(khớp vừa, lớn).</w:t>
      </w:r>
    </w:p>
    <w:p w14:paraId="3BFE26A6" w14:textId="77777777" w:rsidR="00353AF2" w:rsidRPr="001D1FB0" w:rsidRDefault="00353AF2" w:rsidP="00DD6A51">
      <w:pPr>
        <w:pStyle w:val="Heading4"/>
        <w:keepNext w:val="0"/>
        <w:keepLines w:val="0"/>
        <w:widowControl w:val="0"/>
        <w:numPr>
          <w:ilvl w:val="0"/>
          <w:numId w:val="34"/>
        </w:numPr>
        <w:tabs>
          <w:tab w:val="left" w:pos="825"/>
        </w:tabs>
        <w:autoSpaceDE w:val="0"/>
        <w:autoSpaceDN w:val="0"/>
        <w:spacing w:before="0" w:line="360" w:lineRule="auto"/>
        <w:jc w:val="both"/>
        <w:rPr>
          <w:rFonts w:ascii="Times New Roman" w:hAnsi="Times New Roman" w:cs="Times New Roman"/>
          <w:b/>
          <w:i w:val="0"/>
          <w:color w:val="auto"/>
          <w:sz w:val="26"/>
          <w:szCs w:val="26"/>
        </w:rPr>
      </w:pPr>
      <w:r w:rsidRPr="001D1FB0">
        <w:rPr>
          <w:rFonts w:ascii="Times New Roman" w:hAnsi="Times New Roman" w:cs="Times New Roman"/>
          <w:b/>
          <w:i w:val="0"/>
          <w:color w:val="auto"/>
          <w:sz w:val="26"/>
          <w:szCs w:val="26"/>
        </w:rPr>
        <w:t>Giai đoạn giữa các cơn gút cấp.</w:t>
      </w:r>
    </w:p>
    <w:p w14:paraId="28C5FC10" w14:textId="10F2F6B7" w:rsidR="00353AF2" w:rsidRPr="001D1FB0" w:rsidRDefault="00353AF2" w:rsidP="00DD6A51">
      <w:pPr>
        <w:pStyle w:val="BodyText"/>
        <w:numPr>
          <w:ilvl w:val="0"/>
          <w:numId w:val="28"/>
        </w:numPr>
        <w:spacing w:before="0" w:line="360" w:lineRule="auto"/>
        <w:ind w:left="426" w:right="266"/>
        <w:rPr>
          <w:b/>
          <w:sz w:val="26"/>
          <w:szCs w:val="26"/>
        </w:rPr>
      </w:pPr>
      <w:r w:rsidRPr="001D1FB0">
        <w:rPr>
          <w:b/>
          <w:sz w:val="26"/>
          <w:szCs w:val="26"/>
        </w:rPr>
        <w:t>Giáo dục bệnh nhân và chế độ ăn uống, sinh hoạt:</w:t>
      </w:r>
      <w:r w:rsidR="001D1FB0">
        <w:rPr>
          <w:b/>
          <w:sz w:val="26"/>
          <w:szCs w:val="26"/>
          <w:lang w:val="en-US"/>
        </w:rPr>
        <w:t xml:space="preserve"> </w:t>
      </w:r>
      <w:r w:rsidRPr="001D1FB0">
        <w:rPr>
          <w:sz w:val="26"/>
          <w:szCs w:val="26"/>
          <w:lang w:val="en-US"/>
        </w:rPr>
        <w:t>Hạn chế ăn các thực phẩm giàu purine</w:t>
      </w:r>
      <w:r w:rsidR="001D1FB0">
        <w:rPr>
          <w:sz w:val="26"/>
          <w:szCs w:val="26"/>
          <w:lang w:val="en-US"/>
        </w:rPr>
        <w:t xml:space="preserve"> </w:t>
      </w:r>
      <w:r w:rsidRPr="001D1FB0">
        <w:rPr>
          <w:sz w:val="26"/>
          <w:szCs w:val="26"/>
          <w:lang w:val="en-US"/>
        </w:rPr>
        <w:t>(các loại thịt đỏ, phủ tạng động</w:t>
      </w:r>
      <w:r w:rsidR="001D1FB0">
        <w:rPr>
          <w:sz w:val="26"/>
          <w:szCs w:val="26"/>
          <w:lang w:val="en-US"/>
        </w:rPr>
        <w:t xml:space="preserve"> </w:t>
      </w:r>
      <w:r w:rsidRPr="001D1FB0">
        <w:rPr>
          <w:sz w:val="26"/>
          <w:szCs w:val="26"/>
          <w:lang w:val="en-US"/>
        </w:rPr>
        <w:t>vật, một số lo</w:t>
      </w:r>
      <w:r w:rsidR="001D1FB0">
        <w:rPr>
          <w:sz w:val="26"/>
          <w:szCs w:val="26"/>
          <w:lang w:val="en-US"/>
        </w:rPr>
        <w:t>ạ</w:t>
      </w:r>
      <w:r w:rsidRPr="001D1FB0">
        <w:rPr>
          <w:sz w:val="26"/>
          <w:szCs w:val="26"/>
          <w:lang w:val="en-US"/>
        </w:rPr>
        <w:t>i hải sản,</w:t>
      </w:r>
      <w:r w:rsidR="001D1FB0">
        <w:rPr>
          <w:sz w:val="26"/>
          <w:szCs w:val="26"/>
          <w:lang w:val="en-US"/>
        </w:rPr>
        <w:t>…</w:t>
      </w:r>
      <w:r w:rsidRPr="001D1FB0">
        <w:rPr>
          <w:sz w:val="26"/>
          <w:szCs w:val="26"/>
          <w:lang w:val="en-US"/>
        </w:rPr>
        <w:t>)</w:t>
      </w:r>
      <w:r w:rsidR="001D1FB0">
        <w:rPr>
          <w:sz w:val="26"/>
          <w:szCs w:val="26"/>
          <w:lang w:val="en-US"/>
        </w:rPr>
        <w:t>.</w:t>
      </w:r>
      <w:r w:rsidRPr="001D1FB0">
        <w:rPr>
          <w:sz w:val="26"/>
          <w:szCs w:val="26"/>
          <w:lang w:val="en-US"/>
        </w:rPr>
        <w:t xml:space="preserve"> Kiêng rượu bia, tránh các đồ uống nước ngọt có fructose. Uống nhiều nước h</w:t>
      </w:r>
      <w:r w:rsidR="001D1FB0">
        <w:rPr>
          <w:sz w:val="26"/>
          <w:szCs w:val="26"/>
          <w:lang w:val="en-US"/>
        </w:rPr>
        <w:t>à</w:t>
      </w:r>
      <w:r w:rsidRPr="001D1FB0">
        <w:rPr>
          <w:sz w:val="26"/>
          <w:szCs w:val="26"/>
          <w:lang w:val="en-US"/>
        </w:rPr>
        <w:t>ng ngày, có thể uống sữa, vitamin C, giảm cân nếu có thừa cân.</w:t>
      </w:r>
    </w:p>
    <w:p w14:paraId="4E63B745" w14:textId="028FDA2F" w:rsidR="00353AF2" w:rsidRPr="001D1FB0" w:rsidRDefault="00353AF2" w:rsidP="00DD6A51">
      <w:pPr>
        <w:pStyle w:val="BodyText"/>
        <w:numPr>
          <w:ilvl w:val="0"/>
          <w:numId w:val="28"/>
        </w:numPr>
        <w:spacing w:before="0" w:line="360" w:lineRule="auto"/>
        <w:ind w:left="426" w:right="266"/>
        <w:rPr>
          <w:b/>
          <w:sz w:val="26"/>
          <w:szCs w:val="26"/>
        </w:rPr>
      </w:pPr>
      <w:r w:rsidRPr="001D1FB0">
        <w:rPr>
          <w:b/>
          <w:sz w:val="26"/>
          <w:szCs w:val="26"/>
        </w:rPr>
        <w:t>Điều trị dự phòng các cơn viêm khớp cấp</w:t>
      </w:r>
      <w:r w:rsidR="001D1FB0" w:rsidRPr="00BA4876">
        <w:rPr>
          <w:b/>
          <w:sz w:val="26"/>
          <w:szCs w:val="26"/>
        </w:rPr>
        <w:t>:</w:t>
      </w:r>
    </w:p>
    <w:p w14:paraId="627ABA84" w14:textId="41A776E7" w:rsidR="00353AF2" w:rsidRPr="001D1FB0" w:rsidRDefault="00353AF2" w:rsidP="00DD6A51">
      <w:pPr>
        <w:pStyle w:val="BodyText"/>
        <w:numPr>
          <w:ilvl w:val="0"/>
          <w:numId w:val="30"/>
        </w:numPr>
        <w:spacing w:line="360" w:lineRule="auto"/>
        <w:ind w:right="266"/>
        <w:rPr>
          <w:sz w:val="26"/>
          <w:szCs w:val="26"/>
        </w:rPr>
      </w:pPr>
      <w:r w:rsidRPr="001D1FB0">
        <w:rPr>
          <w:sz w:val="26"/>
          <w:szCs w:val="26"/>
        </w:rPr>
        <w:t>Chỉ định: phòng ngừa cơn gút cấp khi bắt đầu liệu pháp hạ acid uric máu</w:t>
      </w:r>
      <w:r w:rsidR="001D1FB0">
        <w:rPr>
          <w:sz w:val="26"/>
          <w:szCs w:val="26"/>
          <w:lang w:val="en-US"/>
        </w:rPr>
        <w:t xml:space="preserve"> </w:t>
      </w:r>
      <w:r w:rsidRPr="001D1FB0">
        <w:rPr>
          <w:sz w:val="26"/>
          <w:szCs w:val="26"/>
        </w:rPr>
        <w:t>(kéo dài ít nhất 3-6 tháng) hoặc dự phòng kéo dài cho những bệnh nhân có nhiều cơn gút tái phát song không dùng được các thuốc hạ uric máu.</w:t>
      </w:r>
    </w:p>
    <w:p w14:paraId="19523BBD" w14:textId="5089535C" w:rsidR="00353AF2" w:rsidRPr="001D1FB0" w:rsidRDefault="00353AF2" w:rsidP="00DD6A51">
      <w:pPr>
        <w:pStyle w:val="BodyText"/>
        <w:numPr>
          <w:ilvl w:val="0"/>
          <w:numId w:val="30"/>
        </w:numPr>
        <w:spacing w:line="360" w:lineRule="auto"/>
        <w:ind w:right="266"/>
        <w:rPr>
          <w:sz w:val="26"/>
          <w:szCs w:val="26"/>
        </w:rPr>
      </w:pPr>
      <w:r w:rsidRPr="001D1FB0">
        <w:rPr>
          <w:sz w:val="26"/>
          <w:szCs w:val="26"/>
        </w:rPr>
        <w:t>Thuốc dự phòng: Colchicin 0,6-1 mg hàng ngày, sau bữa tối, giảm liều ở người già hoặc suy thận nhẹ, không dùng khi suy thận nặng. Cũng có thể dùng một NSAID liều thấp nếu không dùng được colchicine</w:t>
      </w:r>
      <w:r w:rsidR="001D1FB0">
        <w:rPr>
          <w:sz w:val="26"/>
          <w:szCs w:val="26"/>
          <w:lang w:val="en-US"/>
        </w:rPr>
        <w:t>.</w:t>
      </w:r>
    </w:p>
    <w:p w14:paraId="02CA76B7" w14:textId="60CE107C" w:rsidR="00353AF2" w:rsidRPr="00371719" w:rsidRDefault="00353AF2" w:rsidP="00DD6A51">
      <w:pPr>
        <w:pStyle w:val="BodyText"/>
        <w:numPr>
          <w:ilvl w:val="0"/>
          <w:numId w:val="28"/>
        </w:numPr>
        <w:spacing w:before="0" w:line="360" w:lineRule="auto"/>
        <w:ind w:left="426" w:right="266"/>
        <w:rPr>
          <w:b/>
          <w:sz w:val="26"/>
          <w:szCs w:val="26"/>
        </w:rPr>
      </w:pPr>
      <w:r w:rsidRPr="00371719">
        <w:rPr>
          <w:b/>
          <w:sz w:val="26"/>
          <w:szCs w:val="26"/>
        </w:rPr>
        <w:t>Thuốc giảm acid uric máu</w:t>
      </w:r>
      <w:r w:rsidR="00BA4876">
        <w:rPr>
          <w:b/>
          <w:sz w:val="26"/>
          <w:szCs w:val="26"/>
          <w:lang w:val="en-US"/>
        </w:rPr>
        <w:t>:</w:t>
      </w:r>
    </w:p>
    <w:p w14:paraId="2C38EEAC" w14:textId="2F359FA7" w:rsidR="00353AF2" w:rsidRPr="00BA4876" w:rsidRDefault="00353AF2" w:rsidP="00DD6A51">
      <w:pPr>
        <w:pStyle w:val="BodyText"/>
        <w:numPr>
          <w:ilvl w:val="0"/>
          <w:numId w:val="30"/>
        </w:numPr>
        <w:spacing w:line="360" w:lineRule="auto"/>
        <w:ind w:right="266"/>
        <w:rPr>
          <w:i/>
          <w:sz w:val="26"/>
          <w:szCs w:val="26"/>
        </w:rPr>
      </w:pPr>
      <w:r w:rsidRPr="00BA4876">
        <w:rPr>
          <w:i/>
          <w:sz w:val="26"/>
          <w:szCs w:val="26"/>
        </w:rPr>
        <w:t>Nguyên tắc sử dụng</w:t>
      </w:r>
      <w:r w:rsidR="00BA4876" w:rsidRPr="00BA4876">
        <w:rPr>
          <w:i/>
          <w:sz w:val="26"/>
          <w:szCs w:val="26"/>
          <w:lang w:val="en-US"/>
        </w:rPr>
        <w:t>:</w:t>
      </w:r>
    </w:p>
    <w:p w14:paraId="1F290C10" w14:textId="77777777" w:rsidR="00353AF2" w:rsidRPr="00BA4876" w:rsidRDefault="00353AF2" w:rsidP="00DD6A51">
      <w:pPr>
        <w:pStyle w:val="BodyText"/>
        <w:numPr>
          <w:ilvl w:val="0"/>
          <w:numId w:val="35"/>
        </w:numPr>
        <w:spacing w:before="0" w:line="360" w:lineRule="auto"/>
        <w:ind w:right="266"/>
        <w:rPr>
          <w:sz w:val="26"/>
          <w:szCs w:val="26"/>
        </w:rPr>
      </w:pPr>
      <w:r w:rsidRPr="00BA4876">
        <w:rPr>
          <w:sz w:val="26"/>
          <w:szCs w:val="26"/>
        </w:rPr>
        <w:lastRenderedPageBreak/>
        <w:t>Mục tiêu điều trị: hạ và duy trì acid uric máu &lt;6 mg/dl (lý tưởng nhất là &lt; 5 mg/dl, đặc biệt với các trường hợp gút mạn có hạt tophi).</w:t>
      </w:r>
    </w:p>
    <w:p w14:paraId="04C0888C" w14:textId="7E7B9328" w:rsidR="00353AF2" w:rsidRPr="00BA4876" w:rsidRDefault="00353AF2" w:rsidP="00DD6A51">
      <w:pPr>
        <w:pStyle w:val="BodyText"/>
        <w:numPr>
          <w:ilvl w:val="0"/>
          <w:numId w:val="35"/>
        </w:numPr>
        <w:spacing w:before="0" w:line="360" w:lineRule="auto"/>
        <w:ind w:right="266"/>
        <w:rPr>
          <w:sz w:val="26"/>
          <w:szCs w:val="26"/>
        </w:rPr>
      </w:pPr>
      <w:r w:rsidRPr="00BA4876">
        <w:rPr>
          <w:sz w:val="26"/>
          <w:szCs w:val="26"/>
        </w:rPr>
        <w:t>Bắt đầu với liều thấp và tăng dần tới liều thích hợp và duy trì, sử dụng liên tục, kéo dài.</w:t>
      </w:r>
    </w:p>
    <w:p w14:paraId="69432851" w14:textId="5530D559" w:rsidR="00353AF2" w:rsidRPr="00BA4876" w:rsidRDefault="00353AF2" w:rsidP="00DD6A51">
      <w:pPr>
        <w:pStyle w:val="BodyText"/>
        <w:numPr>
          <w:ilvl w:val="0"/>
          <w:numId w:val="35"/>
        </w:numPr>
        <w:spacing w:before="0" w:line="360" w:lineRule="auto"/>
        <w:ind w:right="266"/>
        <w:rPr>
          <w:sz w:val="26"/>
          <w:szCs w:val="26"/>
        </w:rPr>
      </w:pPr>
      <w:r w:rsidRPr="00BA4876">
        <w:rPr>
          <w:sz w:val="26"/>
          <w:szCs w:val="26"/>
        </w:rPr>
        <w:t xml:space="preserve">Không nên dùng khi đang viêm khớp cấp (trừ khi </w:t>
      </w:r>
      <w:r w:rsidR="00BA4876">
        <w:rPr>
          <w:sz w:val="26"/>
          <w:szCs w:val="26"/>
          <w:lang w:val="en-US"/>
        </w:rPr>
        <w:t xml:space="preserve"> người </w:t>
      </w:r>
      <w:r w:rsidRPr="00BA4876">
        <w:rPr>
          <w:sz w:val="26"/>
          <w:szCs w:val="26"/>
        </w:rPr>
        <w:t xml:space="preserve">bệnh đang được dùng thuốc chống viêm đầy đủ). Nếu </w:t>
      </w:r>
      <w:r w:rsidR="00BA4876">
        <w:rPr>
          <w:sz w:val="26"/>
          <w:szCs w:val="26"/>
          <w:lang w:val="en-US"/>
        </w:rPr>
        <w:t xml:space="preserve"> người </w:t>
      </w:r>
      <w:r w:rsidRPr="00BA4876">
        <w:rPr>
          <w:sz w:val="26"/>
          <w:szCs w:val="26"/>
        </w:rPr>
        <w:t>bệnh đang dùng thuốc hạ uric máu, cần tiếp tục dùng trong cơn cấp.</w:t>
      </w:r>
    </w:p>
    <w:p w14:paraId="506E93E0" w14:textId="34296152" w:rsidR="00353AF2" w:rsidRPr="00BA4876" w:rsidRDefault="00353AF2" w:rsidP="00DD6A51">
      <w:pPr>
        <w:pStyle w:val="BodyText"/>
        <w:numPr>
          <w:ilvl w:val="0"/>
          <w:numId w:val="35"/>
        </w:numPr>
        <w:spacing w:before="0" w:line="360" w:lineRule="auto"/>
        <w:ind w:right="266"/>
        <w:rPr>
          <w:sz w:val="26"/>
          <w:szCs w:val="26"/>
        </w:rPr>
      </w:pPr>
      <w:r w:rsidRPr="00BA4876">
        <w:rPr>
          <w:sz w:val="26"/>
          <w:szCs w:val="26"/>
        </w:rPr>
        <w:t>Thuốc được lựa chọn đầu tiên, phổ biến nhất là nhóm ức chế tổng hợp acid uric.</w:t>
      </w:r>
    </w:p>
    <w:p w14:paraId="565D0BF1" w14:textId="531C6388" w:rsidR="00353AF2" w:rsidRPr="00BA4876" w:rsidRDefault="00353AF2" w:rsidP="00DD6A51">
      <w:pPr>
        <w:pStyle w:val="BodyText"/>
        <w:numPr>
          <w:ilvl w:val="0"/>
          <w:numId w:val="30"/>
        </w:numPr>
        <w:spacing w:line="360" w:lineRule="auto"/>
        <w:ind w:right="266"/>
        <w:rPr>
          <w:i/>
          <w:sz w:val="26"/>
          <w:szCs w:val="26"/>
        </w:rPr>
      </w:pPr>
      <w:r w:rsidRPr="00BA4876">
        <w:rPr>
          <w:i/>
          <w:sz w:val="26"/>
          <w:szCs w:val="26"/>
        </w:rPr>
        <w:t>Nhóm thuốc ức chế tổng hợp acid uric:</w:t>
      </w:r>
      <w:r w:rsidR="00BA4876">
        <w:rPr>
          <w:i/>
          <w:sz w:val="26"/>
          <w:szCs w:val="26"/>
          <w:lang w:val="en-US"/>
        </w:rPr>
        <w:t xml:space="preserve"> </w:t>
      </w:r>
      <w:r w:rsidRPr="00BA4876">
        <w:rPr>
          <w:sz w:val="26"/>
          <w:szCs w:val="26"/>
        </w:rPr>
        <w:t>Allopurinol</w:t>
      </w:r>
      <w:r w:rsidR="00BA4876">
        <w:rPr>
          <w:sz w:val="26"/>
          <w:szCs w:val="26"/>
          <w:lang w:val="en-US"/>
        </w:rPr>
        <w:t xml:space="preserve"> - </w:t>
      </w:r>
      <w:r w:rsidRPr="00BA4876">
        <w:rPr>
          <w:sz w:val="26"/>
          <w:szCs w:val="26"/>
        </w:rPr>
        <w:t>Liều lượng hằng ngày dựa vào nồng độ acid uric máu. Liều khởi đầu: Allopurinol 100mg/ngày trong vòng 1 tuần, sau đó tăng 200-300mg/ngày. Nồng độ acid uric máu thường trở về bình thường với liều 200-300mg/ngày. Không nên chỉ định trong trong cơn gút cấp mà nên chỉ định khi tình trạng viêm khớp đã thuyên giảm, sau 1-2 tuần sử dụng colchicin. Cần lưu ý tác dụng phụ của allopurinol như sốt, nôn, buồn nôn, đau đầu, ban đỏ ở da, dị ứng… cần theo dõi sát trong những ngày đầu dùng thuốc, thậm chí sau 1-2 tuần dùng thuốc này.</w:t>
      </w:r>
    </w:p>
    <w:p w14:paraId="7931842A" w14:textId="4ADFDF50" w:rsidR="00353AF2" w:rsidRPr="00BA4876" w:rsidRDefault="00353AF2" w:rsidP="00DD6A51">
      <w:pPr>
        <w:pStyle w:val="BodyText"/>
        <w:numPr>
          <w:ilvl w:val="0"/>
          <w:numId w:val="30"/>
        </w:numPr>
        <w:spacing w:line="360" w:lineRule="auto"/>
        <w:ind w:right="266"/>
        <w:rPr>
          <w:i/>
          <w:sz w:val="26"/>
          <w:szCs w:val="26"/>
        </w:rPr>
      </w:pPr>
      <w:r w:rsidRPr="00BA4876">
        <w:rPr>
          <w:i/>
          <w:sz w:val="26"/>
          <w:szCs w:val="26"/>
        </w:rPr>
        <w:t>Nhóm thuốc tăng thải acid uric:</w:t>
      </w:r>
      <w:r w:rsidR="00BA4876">
        <w:rPr>
          <w:i/>
          <w:sz w:val="26"/>
          <w:szCs w:val="26"/>
          <w:lang w:val="en-US"/>
        </w:rPr>
        <w:t xml:space="preserve"> </w:t>
      </w:r>
      <w:r w:rsidRPr="00BA4876">
        <w:rPr>
          <w:sz w:val="26"/>
          <w:szCs w:val="26"/>
        </w:rPr>
        <w:t>Probenecid (250mg- 3g/ngày), Sunfinpyrazol (100-800mg/ngày), Benzbriodaron, Benzbromaron… Chỉ định nhóm này cần xét nghiệm acid uric niệu. Chống chỉ định khi acid uric niệu trên 800 mg/24 giờ, suy thận, sỏi thận, người cao tuổi, gút mạn có hạt tophi. Đôi khi có thể dùng phối hợp allopurinol với một loại thuốc tăng đào thải acid uric.</w:t>
      </w:r>
    </w:p>
    <w:p w14:paraId="7BA83BB6" w14:textId="77777777" w:rsidR="00353AF2" w:rsidRPr="00BA4876" w:rsidRDefault="00353AF2" w:rsidP="00DD6A51">
      <w:pPr>
        <w:pStyle w:val="Heading4"/>
        <w:keepNext w:val="0"/>
        <w:keepLines w:val="0"/>
        <w:widowControl w:val="0"/>
        <w:numPr>
          <w:ilvl w:val="0"/>
          <w:numId w:val="34"/>
        </w:numPr>
        <w:tabs>
          <w:tab w:val="left" w:pos="825"/>
        </w:tabs>
        <w:autoSpaceDE w:val="0"/>
        <w:autoSpaceDN w:val="0"/>
        <w:spacing w:before="0" w:line="360" w:lineRule="auto"/>
        <w:jc w:val="both"/>
        <w:rPr>
          <w:rFonts w:ascii="Times New Roman" w:hAnsi="Times New Roman" w:cs="Times New Roman"/>
          <w:b/>
          <w:i w:val="0"/>
          <w:color w:val="auto"/>
          <w:sz w:val="26"/>
          <w:szCs w:val="26"/>
        </w:rPr>
      </w:pPr>
      <w:r w:rsidRPr="00BA4876">
        <w:rPr>
          <w:rFonts w:ascii="Times New Roman" w:hAnsi="Times New Roman" w:cs="Times New Roman"/>
          <w:b/>
          <w:i w:val="0"/>
          <w:color w:val="auto"/>
          <w:sz w:val="26"/>
          <w:szCs w:val="26"/>
        </w:rPr>
        <w:t>Điều trị gút mạn:</w:t>
      </w:r>
    </w:p>
    <w:p w14:paraId="0007AA16" w14:textId="133178FE" w:rsidR="00353AF2" w:rsidRPr="00BA4876" w:rsidRDefault="00BA4876" w:rsidP="00DD6A51">
      <w:pPr>
        <w:pStyle w:val="BodyText"/>
        <w:numPr>
          <w:ilvl w:val="0"/>
          <w:numId w:val="28"/>
        </w:numPr>
        <w:spacing w:before="0" w:line="360" w:lineRule="auto"/>
        <w:ind w:left="426" w:right="266"/>
        <w:rPr>
          <w:sz w:val="26"/>
          <w:szCs w:val="26"/>
        </w:rPr>
      </w:pPr>
      <w:r>
        <w:rPr>
          <w:sz w:val="26"/>
          <w:szCs w:val="26"/>
          <w:lang w:val="en-US"/>
        </w:rPr>
        <w:t>Người b</w:t>
      </w:r>
      <w:r w:rsidR="00353AF2" w:rsidRPr="00BA4876">
        <w:rPr>
          <w:sz w:val="26"/>
          <w:szCs w:val="26"/>
        </w:rPr>
        <w:t>ệnh viêm đa khớp mạn tính ít hoặc không đáp ứng với NSAID và colchicine hoặc có suy thận có thể phải dùng corticoid liều thấp kéo dài</w:t>
      </w:r>
      <w:r>
        <w:rPr>
          <w:sz w:val="26"/>
          <w:szCs w:val="26"/>
          <w:lang w:val="en-US"/>
        </w:rPr>
        <w:t>.</w:t>
      </w:r>
    </w:p>
    <w:p w14:paraId="4114AFEF" w14:textId="77777777" w:rsidR="00353AF2" w:rsidRPr="00BA4876" w:rsidRDefault="00353AF2" w:rsidP="00DD6A51">
      <w:pPr>
        <w:pStyle w:val="BodyText"/>
        <w:numPr>
          <w:ilvl w:val="0"/>
          <w:numId w:val="28"/>
        </w:numPr>
        <w:spacing w:before="0" w:line="360" w:lineRule="auto"/>
        <w:ind w:left="426" w:right="266"/>
        <w:rPr>
          <w:sz w:val="26"/>
          <w:szCs w:val="26"/>
        </w:rPr>
      </w:pPr>
      <w:r w:rsidRPr="00BA4876">
        <w:rPr>
          <w:sz w:val="26"/>
          <w:szCs w:val="26"/>
        </w:rPr>
        <w:lastRenderedPageBreak/>
        <w:t xml:space="preserve">Điều trị các biến chứng: sỏi thận, suy thận, các bệnh lí phối hợp. </w:t>
      </w:r>
    </w:p>
    <w:p w14:paraId="79249913" w14:textId="50249187" w:rsidR="00353AF2" w:rsidRPr="00BA4876" w:rsidRDefault="00353AF2" w:rsidP="00DD6A51">
      <w:pPr>
        <w:pStyle w:val="BodyText"/>
        <w:numPr>
          <w:ilvl w:val="0"/>
          <w:numId w:val="28"/>
        </w:numPr>
        <w:spacing w:before="0" w:line="360" w:lineRule="auto"/>
        <w:ind w:left="426" w:right="266"/>
        <w:rPr>
          <w:sz w:val="26"/>
          <w:szCs w:val="26"/>
        </w:rPr>
      </w:pPr>
      <w:r w:rsidRPr="00BA4876">
        <w:rPr>
          <w:sz w:val="26"/>
          <w:szCs w:val="26"/>
        </w:rPr>
        <w:t>Phẫu thuật cắt bỏ hạt tôphi được chỉ định trong trường hợp gút kèm biến chứng loét, bội nhiễm hạt tôphi hoặc hạt tôphi kích thước lớn, ảnh hưởng đến vận động hoặc vì lý do thẩm mỹ. Khi phẫu thuật lưu ý cho dùng colchicin nhằm tránh khởi phát cơn gút cấp. Cần kết hợp thuốc hạ acid uric máu.</w:t>
      </w:r>
    </w:p>
    <w:p w14:paraId="1BDF09DC" w14:textId="60097C12" w:rsidR="00353AF2" w:rsidRDefault="00353AF2" w:rsidP="00DD6A51">
      <w:pPr>
        <w:pStyle w:val="ListParagraph"/>
        <w:numPr>
          <w:ilvl w:val="0"/>
          <w:numId w:val="29"/>
        </w:numPr>
        <w:spacing w:before="120" w:after="0" w:line="360" w:lineRule="auto"/>
        <w:ind w:left="426"/>
        <w:jc w:val="both"/>
        <w:rPr>
          <w:b/>
          <w:bCs/>
          <w:sz w:val="28"/>
          <w:szCs w:val="28"/>
        </w:rPr>
      </w:pPr>
      <w:r>
        <w:rPr>
          <w:b/>
          <w:bCs/>
          <w:sz w:val="28"/>
          <w:szCs w:val="28"/>
        </w:rPr>
        <w:t>TIÊU CHUẨN NHẬP VIỆN</w:t>
      </w:r>
    </w:p>
    <w:p w14:paraId="2B7EC7CA" w14:textId="77777777" w:rsidR="00353AF2" w:rsidRPr="00BA4876" w:rsidRDefault="00353AF2" w:rsidP="00DD6A51">
      <w:pPr>
        <w:pStyle w:val="BodyText"/>
        <w:numPr>
          <w:ilvl w:val="0"/>
          <w:numId w:val="28"/>
        </w:numPr>
        <w:spacing w:before="0" w:line="360" w:lineRule="auto"/>
        <w:ind w:left="426" w:right="266"/>
        <w:rPr>
          <w:sz w:val="26"/>
          <w:szCs w:val="26"/>
        </w:rPr>
      </w:pPr>
      <w:r w:rsidRPr="00BA4876">
        <w:rPr>
          <w:sz w:val="26"/>
          <w:szCs w:val="26"/>
        </w:rPr>
        <w:t>Gout cấp có sốt cao, rét run, sưng đau nhiều…</w:t>
      </w:r>
    </w:p>
    <w:p w14:paraId="66E99ED2" w14:textId="0475149D" w:rsidR="00353AF2" w:rsidRPr="00353AF2" w:rsidRDefault="00353AF2" w:rsidP="00DD6A51">
      <w:pPr>
        <w:pStyle w:val="BodyText"/>
        <w:numPr>
          <w:ilvl w:val="0"/>
          <w:numId w:val="28"/>
        </w:numPr>
        <w:spacing w:before="0" w:line="360" w:lineRule="auto"/>
        <w:ind w:left="426" w:right="266"/>
        <w:rPr>
          <w:sz w:val="26"/>
          <w:szCs w:val="26"/>
        </w:rPr>
      </w:pPr>
      <w:r w:rsidRPr="00BA4876">
        <w:rPr>
          <w:sz w:val="26"/>
          <w:szCs w:val="26"/>
        </w:rPr>
        <w:t>Gout mạn có biến chứng: vỡ, loét và nhiễm trùng tophi, sỏi thận, suy thận,…</w:t>
      </w:r>
    </w:p>
    <w:p w14:paraId="5689F605" w14:textId="780A218F"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TIÊN LƯỢNG BIẾN CHỨNG</w:t>
      </w:r>
    </w:p>
    <w:p w14:paraId="6A763D4B" w14:textId="21D6CB50" w:rsidR="00353AF2" w:rsidRPr="009D5569" w:rsidRDefault="00353AF2" w:rsidP="00DD6A51">
      <w:pPr>
        <w:pStyle w:val="BodyText"/>
        <w:numPr>
          <w:ilvl w:val="0"/>
          <w:numId w:val="28"/>
        </w:numPr>
        <w:spacing w:before="0" w:line="360" w:lineRule="auto"/>
        <w:ind w:left="426" w:right="266"/>
        <w:rPr>
          <w:sz w:val="26"/>
          <w:szCs w:val="26"/>
        </w:rPr>
      </w:pPr>
      <w:r w:rsidRPr="009D5569">
        <w:rPr>
          <w:sz w:val="26"/>
          <w:szCs w:val="26"/>
        </w:rPr>
        <w:t xml:space="preserve">Thông thường có 1-2 cơn mỗi năm, khoảng cách các cơn ngắn lại, 10-20 năm sau cơn đầu tiên, xuất hiện các tophi và bệnh khớp urat làm hạn chế vận động. </w:t>
      </w:r>
      <w:r w:rsidR="00BA4876">
        <w:rPr>
          <w:sz w:val="26"/>
          <w:szCs w:val="26"/>
          <w:lang w:val="en-US"/>
        </w:rPr>
        <w:t>Người b</w:t>
      </w:r>
      <w:r w:rsidRPr="009D5569">
        <w:rPr>
          <w:sz w:val="26"/>
          <w:szCs w:val="26"/>
        </w:rPr>
        <w:t>ệnh chết do suy thận hay do tai biến mạch</w:t>
      </w:r>
      <w:r w:rsidRPr="00BA4876">
        <w:rPr>
          <w:sz w:val="26"/>
          <w:szCs w:val="26"/>
        </w:rPr>
        <w:t xml:space="preserve"> </w:t>
      </w:r>
      <w:r w:rsidRPr="009D5569">
        <w:rPr>
          <w:sz w:val="26"/>
          <w:szCs w:val="26"/>
        </w:rPr>
        <w:t>máu.</w:t>
      </w:r>
    </w:p>
    <w:p w14:paraId="37B65F63" w14:textId="45A873C4" w:rsidR="00353AF2" w:rsidRPr="00BA4876" w:rsidRDefault="00353AF2" w:rsidP="00DD6A51">
      <w:pPr>
        <w:pStyle w:val="BodyText"/>
        <w:numPr>
          <w:ilvl w:val="0"/>
          <w:numId w:val="28"/>
        </w:numPr>
        <w:spacing w:before="0" w:line="360" w:lineRule="auto"/>
        <w:ind w:left="426" w:right="266"/>
        <w:rPr>
          <w:sz w:val="26"/>
          <w:szCs w:val="26"/>
        </w:rPr>
      </w:pPr>
      <w:r w:rsidRPr="009D5569">
        <w:rPr>
          <w:sz w:val="26"/>
          <w:szCs w:val="26"/>
        </w:rPr>
        <w:t>Có một số thể nhẹ hơn, cơn gút ít xảy ra, không có tophi. Cũng có một số thể nặng hơn, xảy ra ở người trẻ &lt;30 tuổi, cơn gút dày liên tiếp, tophi và bệnh khớp do urat xuất hiện sớm</w:t>
      </w:r>
      <w:r w:rsidR="00BA4876">
        <w:rPr>
          <w:sz w:val="26"/>
          <w:szCs w:val="26"/>
          <w:lang w:val="en-US"/>
        </w:rPr>
        <w:t>.</w:t>
      </w:r>
    </w:p>
    <w:p w14:paraId="05AFF809" w14:textId="49FA7289"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PHÒNG BỆNH</w:t>
      </w:r>
    </w:p>
    <w:p w14:paraId="0BAA33AE" w14:textId="77777777" w:rsidR="00353AF2" w:rsidRPr="009D5569" w:rsidRDefault="00353AF2" w:rsidP="00DD6A51">
      <w:pPr>
        <w:pStyle w:val="BodyText"/>
        <w:numPr>
          <w:ilvl w:val="0"/>
          <w:numId w:val="28"/>
        </w:numPr>
        <w:spacing w:before="0" w:line="360" w:lineRule="auto"/>
        <w:ind w:left="426" w:right="266"/>
        <w:rPr>
          <w:sz w:val="26"/>
          <w:szCs w:val="26"/>
        </w:rPr>
      </w:pPr>
      <w:r w:rsidRPr="009D5569">
        <w:rPr>
          <w:sz w:val="26"/>
          <w:szCs w:val="26"/>
        </w:rPr>
        <w:t>Chế độ sinh hoạt hợp lí, giảm ăn các chất giàu purin, chất</w:t>
      </w:r>
      <w:r w:rsidRPr="00BA4876">
        <w:rPr>
          <w:sz w:val="26"/>
          <w:szCs w:val="26"/>
        </w:rPr>
        <w:t xml:space="preserve"> </w:t>
      </w:r>
      <w:r w:rsidRPr="009D5569">
        <w:rPr>
          <w:sz w:val="26"/>
          <w:szCs w:val="26"/>
        </w:rPr>
        <w:t>béo…</w:t>
      </w:r>
    </w:p>
    <w:p w14:paraId="2808DC9E" w14:textId="6B50A642" w:rsidR="00353AF2" w:rsidRPr="00BA4876" w:rsidRDefault="00353AF2" w:rsidP="00DD6A51">
      <w:pPr>
        <w:pStyle w:val="BodyText"/>
        <w:numPr>
          <w:ilvl w:val="0"/>
          <w:numId w:val="28"/>
        </w:numPr>
        <w:spacing w:before="0" w:line="360" w:lineRule="auto"/>
        <w:ind w:left="426" w:right="266"/>
        <w:rPr>
          <w:sz w:val="26"/>
          <w:szCs w:val="26"/>
        </w:rPr>
      </w:pPr>
      <w:r w:rsidRPr="009D5569">
        <w:rPr>
          <w:sz w:val="26"/>
          <w:szCs w:val="26"/>
        </w:rPr>
        <w:lastRenderedPageBreak/>
        <w:t>Điều trị tốt các bệnh lí gây bệnh gút thứ phát như suy thận, do thuốc, các bệnh lí chuyển</w:t>
      </w:r>
      <w:r w:rsidRPr="00BA4876">
        <w:rPr>
          <w:sz w:val="26"/>
          <w:szCs w:val="26"/>
        </w:rPr>
        <w:t xml:space="preserve"> </w:t>
      </w:r>
      <w:r w:rsidRPr="009D5569">
        <w:rPr>
          <w:sz w:val="26"/>
          <w:szCs w:val="26"/>
        </w:rPr>
        <w:t>hóa…</w:t>
      </w:r>
    </w:p>
    <w:p w14:paraId="47744991" w14:textId="18CABE6C" w:rsidR="001F7A3C"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TÀI LIỆU THAM KHẢ</w:t>
      </w:r>
      <w:r>
        <w:rPr>
          <w:b/>
          <w:bCs/>
          <w:sz w:val="28"/>
          <w:szCs w:val="28"/>
        </w:rPr>
        <w:t>O</w:t>
      </w:r>
    </w:p>
    <w:p w14:paraId="26ACF406" w14:textId="70E00AD1" w:rsidR="00353AF2" w:rsidRPr="009D5569" w:rsidRDefault="00353AF2" w:rsidP="00DD6A51">
      <w:pPr>
        <w:pStyle w:val="BodyText"/>
        <w:numPr>
          <w:ilvl w:val="0"/>
          <w:numId w:val="28"/>
        </w:numPr>
        <w:spacing w:before="0" w:line="360" w:lineRule="auto"/>
        <w:ind w:left="426" w:right="266"/>
        <w:rPr>
          <w:sz w:val="26"/>
          <w:szCs w:val="26"/>
        </w:rPr>
      </w:pPr>
      <w:r w:rsidRPr="00BA4876">
        <w:rPr>
          <w:sz w:val="26"/>
          <w:szCs w:val="26"/>
        </w:rPr>
        <w:t>Bộ Y Tế</w:t>
      </w:r>
      <w:r w:rsidR="00BA4876">
        <w:rPr>
          <w:sz w:val="26"/>
          <w:szCs w:val="26"/>
          <w:lang w:val="en-US"/>
        </w:rPr>
        <w:t xml:space="preserve">: </w:t>
      </w:r>
      <w:r w:rsidRPr="00BA4876">
        <w:rPr>
          <w:sz w:val="26"/>
          <w:szCs w:val="26"/>
        </w:rPr>
        <w:t xml:space="preserve">Hướng dẫn chẩn đoán và điều trị các bệnh Cơ xương khớp. NXB Y học 2016. </w:t>
      </w:r>
    </w:p>
    <w:p w14:paraId="541A45D2" w14:textId="0B148E27" w:rsidR="00353AF2" w:rsidRPr="009D5569" w:rsidRDefault="00353AF2" w:rsidP="00DD6A51">
      <w:pPr>
        <w:pStyle w:val="BodyText"/>
        <w:numPr>
          <w:ilvl w:val="0"/>
          <w:numId w:val="28"/>
        </w:numPr>
        <w:spacing w:before="0" w:line="360" w:lineRule="auto"/>
        <w:ind w:left="426" w:right="266"/>
        <w:rPr>
          <w:sz w:val="26"/>
          <w:szCs w:val="26"/>
        </w:rPr>
      </w:pPr>
      <w:r w:rsidRPr="00BA4876">
        <w:rPr>
          <w:sz w:val="26"/>
          <w:szCs w:val="26"/>
        </w:rPr>
        <w:t>BVCR</w:t>
      </w:r>
      <w:r w:rsidR="00BA4876">
        <w:rPr>
          <w:sz w:val="26"/>
          <w:szCs w:val="26"/>
          <w:lang w:val="en-US"/>
        </w:rPr>
        <w:t>:</w:t>
      </w:r>
      <w:r w:rsidRPr="00BA4876">
        <w:rPr>
          <w:sz w:val="26"/>
          <w:szCs w:val="26"/>
        </w:rPr>
        <w:t xml:space="preserve"> Phác đồ điều trị Bệnh Gút. NXB Y học 2018.</w:t>
      </w:r>
    </w:p>
    <w:p w14:paraId="0EF5799C" w14:textId="77777777" w:rsidR="00353AF2" w:rsidRPr="009D5569" w:rsidRDefault="00353AF2" w:rsidP="00DD6A51">
      <w:pPr>
        <w:pStyle w:val="BodyText"/>
        <w:numPr>
          <w:ilvl w:val="0"/>
          <w:numId w:val="28"/>
        </w:numPr>
        <w:spacing w:before="0" w:line="360" w:lineRule="auto"/>
        <w:ind w:left="426" w:right="266"/>
        <w:rPr>
          <w:sz w:val="26"/>
          <w:szCs w:val="26"/>
        </w:rPr>
      </w:pPr>
      <w:r w:rsidRPr="009D5569">
        <w:rPr>
          <w:sz w:val="26"/>
          <w:szCs w:val="26"/>
        </w:rPr>
        <w:t>Hoàng</w:t>
      </w:r>
      <w:r w:rsidRPr="00BA4876">
        <w:rPr>
          <w:sz w:val="26"/>
          <w:szCs w:val="26"/>
        </w:rPr>
        <w:t xml:space="preserve"> </w:t>
      </w:r>
      <w:r w:rsidRPr="009D5569">
        <w:rPr>
          <w:sz w:val="26"/>
          <w:szCs w:val="26"/>
        </w:rPr>
        <w:t>Văn</w:t>
      </w:r>
      <w:r w:rsidRPr="00BA4876">
        <w:rPr>
          <w:sz w:val="26"/>
          <w:szCs w:val="26"/>
        </w:rPr>
        <w:t xml:space="preserve"> </w:t>
      </w:r>
      <w:r w:rsidRPr="009D5569">
        <w:rPr>
          <w:sz w:val="26"/>
          <w:szCs w:val="26"/>
        </w:rPr>
        <w:t>Dũng</w:t>
      </w:r>
      <w:r w:rsidRPr="00BA4876">
        <w:rPr>
          <w:sz w:val="26"/>
          <w:szCs w:val="26"/>
        </w:rPr>
        <w:t xml:space="preserve"> </w:t>
      </w:r>
      <w:r w:rsidRPr="009D5569">
        <w:rPr>
          <w:sz w:val="26"/>
          <w:szCs w:val="26"/>
        </w:rPr>
        <w:t>(2009),</w:t>
      </w:r>
      <w:r w:rsidRPr="00BA4876">
        <w:rPr>
          <w:sz w:val="26"/>
          <w:szCs w:val="26"/>
        </w:rPr>
        <w:t xml:space="preserve"> “Chẩn đoán và điều trị bệnh gút”</w:t>
      </w:r>
      <w:r w:rsidRPr="009D5569">
        <w:rPr>
          <w:sz w:val="26"/>
          <w:szCs w:val="26"/>
        </w:rPr>
        <w:t>;</w:t>
      </w:r>
      <w:r w:rsidRPr="00BA4876">
        <w:rPr>
          <w:sz w:val="26"/>
          <w:szCs w:val="26"/>
        </w:rPr>
        <w:t xml:space="preserve"> </w:t>
      </w:r>
      <w:r w:rsidRPr="009D5569">
        <w:rPr>
          <w:sz w:val="26"/>
          <w:szCs w:val="26"/>
        </w:rPr>
        <w:t>Chẩn</w:t>
      </w:r>
      <w:r w:rsidRPr="00BA4876">
        <w:rPr>
          <w:sz w:val="26"/>
          <w:szCs w:val="26"/>
        </w:rPr>
        <w:t xml:space="preserve"> </w:t>
      </w:r>
      <w:r w:rsidRPr="009D5569">
        <w:rPr>
          <w:sz w:val="26"/>
          <w:szCs w:val="26"/>
        </w:rPr>
        <w:t>đoán</w:t>
      </w:r>
      <w:r w:rsidRPr="00BA4876">
        <w:rPr>
          <w:sz w:val="26"/>
          <w:szCs w:val="26"/>
        </w:rPr>
        <w:t xml:space="preserve"> </w:t>
      </w:r>
      <w:r w:rsidRPr="009D5569">
        <w:rPr>
          <w:sz w:val="26"/>
          <w:szCs w:val="26"/>
        </w:rPr>
        <w:t>và</w:t>
      </w:r>
      <w:r w:rsidRPr="00BA4876">
        <w:rPr>
          <w:sz w:val="26"/>
          <w:szCs w:val="26"/>
        </w:rPr>
        <w:t xml:space="preserve"> </w:t>
      </w:r>
      <w:r w:rsidRPr="009D5569">
        <w:rPr>
          <w:sz w:val="26"/>
          <w:szCs w:val="26"/>
        </w:rPr>
        <w:t>điều trị những bệnh cơ xương khớp, Nhà xuất bản Y học, tr. 110-123.</w:t>
      </w:r>
    </w:p>
    <w:p w14:paraId="7A4713DC" w14:textId="77777777" w:rsidR="00353AF2" w:rsidRPr="009D5569" w:rsidRDefault="00353AF2" w:rsidP="00DD6A51">
      <w:pPr>
        <w:pStyle w:val="BodyText"/>
        <w:numPr>
          <w:ilvl w:val="0"/>
          <w:numId w:val="28"/>
        </w:numPr>
        <w:spacing w:before="0" w:line="360" w:lineRule="auto"/>
        <w:ind w:left="426" w:right="266"/>
        <w:rPr>
          <w:sz w:val="26"/>
          <w:szCs w:val="26"/>
        </w:rPr>
      </w:pPr>
      <w:r w:rsidRPr="009D5569">
        <w:rPr>
          <w:sz w:val="26"/>
          <w:szCs w:val="26"/>
        </w:rPr>
        <w:t xml:space="preserve">Hồ Văn Lộc (2009), </w:t>
      </w:r>
      <w:r w:rsidRPr="00BA4876">
        <w:rPr>
          <w:sz w:val="26"/>
          <w:szCs w:val="26"/>
        </w:rPr>
        <w:t xml:space="preserve">“Bệnh gút”, </w:t>
      </w:r>
      <w:r w:rsidRPr="009D5569">
        <w:rPr>
          <w:sz w:val="26"/>
          <w:szCs w:val="26"/>
        </w:rPr>
        <w:t>Giáo trình chuyên ngành cơ xương khớp, Đại học Y Dược Huế, tr.</w:t>
      </w:r>
      <w:r w:rsidRPr="00BA4876">
        <w:rPr>
          <w:sz w:val="26"/>
          <w:szCs w:val="26"/>
        </w:rPr>
        <w:t xml:space="preserve"> </w:t>
      </w:r>
      <w:r w:rsidRPr="009D5569">
        <w:rPr>
          <w:sz w:val="26"/>
          <w:szCs w:val="26"/>
        </w:rPr>
        <w:t>26-31.</w:t>
      </w:r>
    </w:p>
    <w:p w14:paraId="13D1D5FC" w14:textId="77777777" w:rsidR="00353AF2" w:rsidRPr="009D5569" w:rsidRDefault="00353AF2" w:rsidP="00DD6A51">
      <w:pPr>
        <w:pStyle w:val="BodyText"/>
        <w:numPr>
          <w:ilvl w:val="0"/>
          <w:numId w:val="28"/>
        </w:numPr>
        <w:spacing w:before="0" w:line="360" w:lineRule="auto"/>
        <w:ind w:left="426" w:right="266"/>
        <w:rPr>
          <w:sz w:val="26"/>
          <w:szCs w:val="26"/>
        </w:rPr>
      </w:pPr>
      <w:r w:rsidRPr="009D5569">
        <w:rPr>
          <w:sz w:val="26"/>
          <w:szCs w:val="26"/>
        </w:rPr>
        <w:t xml:space="preserve">Hector Molina và CS (2010), </w:t>
      </w:r>
      <w:r w:rsidRPr="00BA4876">
        <w:rPr>
          <w:sz w:val="26"/>
          <w:szCs w:val="26"/>
        </w:rPr>
        <w:t>“Crystal- Induced Synovitis, Arthritis and Rheumatologic Diseases”</w:t>
      </w:r>
      <w:r w:rsidRPr="009D5569">
        <w:rPr>
          <w:sz w:val="26"/>
          <w:szCs w:val="26"/>
        </w:rPr>
        <w:t>, The Washington manual of medical thepapeutics, pp.860-</w:t>
      </w:r>
      <w:r w:rsidRPr="00BA4876">
        <w:rPr>
          <w:sz w:val="26"/>
          <w:szCs w:val="26"/>
        </w:rPr>
        <w:t xml:space="preserve"> </w:t>
      </w:r>
      <w:r w:rsidRPr="009D5569">
        <w:rPr>
          <w:sz w:val="26"/>
          <w:szCs w:val="26"/>
        </w:rPr>
        <w:t>864.</w:t>
      </w:r>
    </w:p>
    <w:p w14:paraId="701C1CD3" w14:textId="77777777" w:rsidR="00353AF2" w:rsidRPr="00693713" w:rsidRDefault="00353AF2" w:rsidP="00DD6A51">
      <w:pPr>
        <w:pStyle w:val="BodyText"/>
        <w:numPr>
          <w:ilvl w:val="0"/>
          <w:numId w:val="28"/>
        </w:numPr>
        <w:spacing w:before="0" w:line="360" w:lineRule="auto"/>
        <w:ind w:left="426" w:right="266"/>
        <w:rPr>
          <w:sz w:val="26"/>
          <w:szCs w:val="26"/>
        </w:rPr>
      </w:pPr>
      <w:r w:rsidRPr="009D5569">
        <w:rPr>
          <w:sz w:val="26"/>
          <w:szCs w:val="26"/>
        </w:rPr>
        <w:t xml:space="preserve">John H. Klippel và CS (2008), </w:t>
      </w:r>
      <w:r w:rsidRPr="00BA4876">
        <w:rPr>
          <w:sz w:val="26"/>
          <w:szCs w:val="26"/>
        </w:rPr>
        <w:t xml:space="preserve">“Gout”, </w:t>
      </w:r>
      <w:r w:rsidRPr="009D5569">
        <w:rPr>
          <w:sz w:val="26"/>
          <w:szCs w:val="26"/>
        </w:rPr>
        <w:t>Primer on the rheumatic diseases, edition 13, pp.</w:t>
      </w:r>
      <w:r w:rsidRPr="00BA4876">
        <w:rPr>
          <w:sz w:val="26"/>
          <w:szCs w:val="26"/>
        </w:rPr>
        <w:t xml:space="preserve"> </w:t>
      </w:r>
      <w:r w:rsidRPr="009D5569">
        <w:rPr>
          <w:sz w:val="26"/>
          <w:szCs w:val="26"/>
        </w:rPr>
        <w:t>2</w:t>
      </w:r>
      <w:r w:rsidR="00446E32">
        <w:rPr>
          <w:sz w:val="26"/>
          <w:szCs w:val="26"/>
          <w:lang w:val="en-US"/>
        </w:rPr>
        <w:t>41-262</w:t>
      </w:r>
      <w:r w:rsidR="00693713">
        <w:rPr>
          <w:sz w:val="26"/>
          <w:szCs w:val="26"/>
          <w:lang w:val="en-US"/>
        </w:rPr>
        <w:t>.</w:t>
      </w:r>
    </w:p>
    <w:p w14:paraId="1E90D8BF" w14:textId="77777777" w:rsidR="00693713" w:rsidRDefault="00693713" w:rsidP="00693713">
      <w:pPr>
        <w:pStyle w:val="BodyText"/>
        <w:spacing w:before="0" w:line="360" w:lineRule="auto"/>
        <w:ind w:right="266"/>
        <w:rPr>
          <w:sz w:val="26"/>
          <w:szCs w:val="26"/>
        </w:rPr>
      </w:pPr>
    </w:p>
    <w:p w14:paraId="06C69F8F" w14:textId="089D88AC" w:rsidR="00693713" w:rsidRPr="00BA4876" w:rsidRDefault="00693713" w:rsidP="00693713">
      <w:pPr>
        <w:pStyle w:val="BodyText"/>
        <w:spacing w:before="0" w:line="360" w:lineRule="auto"/>
        <w:ind w:right="266"/>
        <w:rPr>
          <w:sz w:val="26"/>
          <w:szCs w:val="26"/>
        </w:rPr>
        <w:sectPr w:rsidR="00693713" w:rsidRPr="00BA4876" w:rsidSect="009C2F94">
          <w:headerReference w:type="default" r:id="rId8"/>
          <w:footerReference w:type="default" r:id="rId9"/>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Content>
      <w:sdt>
        <w:sdtPr>
          <w:id w:val="-1623067651"/>
          <w:docPartObj>
            <w:docPartGallery w:val="Page Numbers (Top of Page)"/>
            <w:docPartUnique/>
          </w:docPartObj>
        </w:sdtPr>
        <w:sdtContent>
          <w:p w14:paraId="153EE3B9" w14:textId="074DAE3D"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DD6A51">
              <w:rPr>
                <w:b/>
                <w:bCs/>
                <w:szCs w:val="24"/>
              </w:rPr>
              <w:t>11</w:t>
            </w:r>
          </w:p>
        </w:sdtContent>
      </w:sdt>
    </w:sdtContent>
  </w:sdt>
  <w:p w14:paraId="0D39CE9E" w14:textId="77777777" w:rsidR="009C2F94" w:rsidRDefault="009C2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75828C8E">
                <wp:simplePos x="0" y="0"/>
                <wp:positionH relativeFrom="margin">
                  <wp:posOffset>26670</wp:posOffset>
                </wp:positionH>
                <wp:positionV relativeFrom="paragraph">
                  <wp:posOffset>279400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91680D" w:rsidRDefault="00353AF2" w:rsidP="00454288">
          <w:pPr>
            <w:spacing w:after="20"/>
            <w:rPr>
              <w:b/>
              <w:noProof/>
              <w:sz w:val="18"/>
            </w:rPr>
          </w:pPr>
          <w:r w:rsidRPr="0091680D">
            <w:rPr>
              <w:b/>
              <w:noProof/>
              <w:sz w:val="18"/>
            </w:rPr>
            <w:t>Mã số tài liệu:</w:t>
          </w:r>
        </w:p>
        <w:p w14:paraId="2427FA91" w14:textId="6ED0FB6B" w:rsidR="00353AF2" w:rsidRPr="0091680D" w:rsidRDefault="00353AF2" w:rsidP="008E06EF">
          <w:pPr>
            <w:spacing w:after="20"/>
            <w:jc w:val="center"/>
            <w:rPr>
              <w:b/>
              <w:noProof/>
              <w:sz w:val="18"/>
            </w:rPr>
          </w:pPr>
          <w:r w:rsidRPr="0091680D">
            <w:rPr>
              <w:b/>
              <w:noProof/>
              <w:sz w:val="18"/>
            </w:rPr>
            <w:t>PRO-MO-IM-001</w:t>
          </w:r>
        </w:p>
      </w:tc>
    </w:tr>
    <w:tr w:rsidR="00353AF2" w:rsidRPr="00D031C0" w14:paraId="149AF2C2" w14:textId="77777777" w:rsidTr="009C2F94">
      <w:trPr>
        <w:cantSplit/>
        <w:trHeight w:val="432"/>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44BEB3FA" w:rsidR="00353AF2" w:rsidRPr="00353AF2" w:rsidRDefault="00353AF2" w:rsidP="008E06EF">
          <w:pPr>
            <w:pStyle w:val="Heading1"/>
            <w:spacing w:line="360" w:lineRule="auto"/>
            <w:jc w:val="center"/>
            <w:rPr>
              <w:rFonts w:ascii="Times New Roman" w:hAnsi="Times New Roman" w:cs="Times New Roman"/>
              <w:b/>
              <w:sz w:val="36"/>
              <w:szCs w:val="36"/>
            </w:rPr>
          </w:pPr>
          <w:r w:rsidRPr="00353AF2">
            <w:rPr>
              <w:rFonts w:ascii="Times New Roman" w:hAnsi="Times New Roman" w:cs="Times New Roman"/>
              <w:b/>
              <w:color w:val="auto"/>
              <w:sz w:val="36"/>
              <w:szCs w:val="36"/>
            </w:rPr>
            <w:t>BỆNH GÚT</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91680D" w:rsidRDefault="00353AF2" w:rsidP="00454288">
          <w:pPr>
            <w:spacing w:after="20"/>
            <w:rPr>
              <w:b/>
              <w:noProof/>
              <w:sz w:val="18"/>
            </w:rPr>
          </w:pPr>
          <w:r w:rsidRPr="0091680D">
            <w:rPr>
              <w:b/>
              <w:noProof/>
              <w:sz w:val="18"/>
            </w:rPr>
            <w:t>Phiên bản:</w:t>
          </w:r>
          <w:r w:rsidRPr="0091680D">
            <w:rPr>
              <w:b/>
              <w:noProof/>
              <w:sz w:val="18"/>
            </w:rPr>
            <w:t xml:space="preserve"> 00</w:t>
          </w:r>
        </w:p>
      </w:tc>
    </w:tr>
    <w:tr w:rsidR="00353AF2" w14:paraId="32D68E98" w14:textId="77777777" w:rsidTr="009C2F94">
      <w:trPr>
        <w:cantSplit/>
        <w:trHeight w:val="39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49F7E2C4" w:rsidR="00353AF2" w:rsidRPr="0091680D" w:rsidRDefault="00353AF2" w:rsidP="00454288">
          <w:pPr>
            <w:spacing w:after="20"/>
            <w:rPr>
              <w:b/>
              <w:noProof/>
              <w:sz w:val="18"/>
            </w:rPr>
          </w:pPr>
          <w:r w:rsidRPr="0091680D">
            <w:rPr>
              <w:b/>
              <w:noProof/>
              <w:sz w:val="18"/>
            </w:rPr>
            <w:t>Ngày hiệu lực</w:t>
          </w:r>
          <w:r w:rsidRPr="0091680D">
            <w:rPr>
              <w:b/>
              <w:noProof/>
              <w:sz w:val="18"/>
            </w:rPr>
            <w:t>: 15/10/2022</w:t>
          </w:r>
        </w:p>
      </w:tc>
    </w:tr>
    <w:tr w:rsidR="00353AF2" w:rsidRPr="00E456F3" w14:paraId="613D3A23" w14:textId="77777777" w:rsidTr="009C2F94">
      <w:trPr>
        <w:cantSplit/>
        <w:trHeight w:val="37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2D2408D0" w:rsidR="00353AF2" w:rsidRPr="0091680D" w:rsidRDefault="00353AF2" w:rsidP="00454288">
          <w:pPr>
            <w:spacing w:after="20"/>
            <w:rPr>
              <w:b/>
              <w:noProof/>
              <w:sz w:val="16"/>
            </w:rPr>
          </w:pPr>
          <w:r w:rsidRPr="0091680D">
            <w:rPr>
              <w:b/>
              <w:noProof/>
              <w:sz w:val="18"/>
            </w:rPr>
            <w:t>Số trang:</w:t>
          </w:r>
          <w:r w:rsidRPr="0091680D">
            <w:rPr>
              <w:b/>
              <w:noProof/>
              <w:sz w:val="18"/>
            </w:rPr>
            <w:t xml:space="preserve"> </w:t>
          </w:r>
          <w:r w:rsidR="00446E32" w:rsidRPr="0091680D">
            <w:rPr>
              <w:b/>
              <w:noProof/>
              <w:sz w:val="18"/>
            </w:rPr>
            <w:t>11</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6"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7"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0"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1"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2"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7"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19"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1"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2"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3"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4"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7"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1"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3"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4"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8"/>
  </w:num>
  <w:num w:numId="2">
    <w:abstractNumId w:val="7"/>
  </w:num>
  <w:num w:numId="3">
    <w:abstractNumId w:val="27"/>
  </w:num>
  <w:num w:numId="4">
    <w:abstractNumId w:val="30"/>
  </w:num>
  <w:num w:numId="5">
    <w:abstractNumId w:val="23"/>
  </w:num>
  <w:num w:numId="6">
    <w:abstractNumId w:val="20"/>
  </w:num>
  <w:num w:numId="7">
    <w:abstractNumId w:val="9"/>
  </w:num>
  <w:num w:numId="8">
    <w:abstractNumId w:val="29"/>
  </w:num>
  <w:num w:numId="9">
    <w:abstractNumId w:val="4"/>
  </w:num>
  <w:num w:numId="10">
    <w:abstractNumId w:val="0"/>
  </w:num>
  <w:num w:numId="11">
    <w:abstractNumId w:val="1"/>
  </w:num>
  <w:num w:numId="12">
    <w:abstractNumId w:val="33"/>
  </w:num>
  <w:num w:numId="13">
    <w:abstractNumId w:val="26"/>
  </w:num>
  <w:num w:numId="14">
    <w:abstractNumId w:val="28"/>
  </w:num>
  <w:num w:numId="15">
    <w:abstractNumId w:val="34"/>
  </w:num>
  <w:num w:numId="16">
    <w:abstractNumId w:val="5"/>
  </w:num>
  <w:num w:numId="17">
    <w:abstractNumId w:val="16"/>
  </w:num>
  <w:num w:numId="18">
    <w:abstractNumId w:val="32"/>
  </w:num>
  <w:num w:numId="19">
    <w:abstractNumId w:val="6"/>
  </w:num>
  <w:num w:numId="20">
    <w:abstractNumId w:val="2"/>
  </w:num>
  <w:num w:numId="21">
    <w:abstractNumId w:val="11"/>
  </w:num>
  <w:num w:numId="22">
    <w:abstractNumId w:val="15"/>
  </w:num>
  <w:num w:numId="23">
    <w:abstractNumId w:val="19"/>
  </w:num>
  <w:num w:numId="24">
    <w:abstractNumId w:val="24"/>
  </w:num>
  <w:num w:numId="25">
    <w:abstractNumId w:val="10"/>
  </w:num>
  <w:num w:numId="26">
    <w:abstractNumId w:val="22"/>
  </w:num>
  <w:num w:numId="27">
    <w:abstractNumId w:val="21"/>
  </w:num>
  <w:num w:numId="28">
    <w:abstractNumId w:val="12"/>
  </w:num>
  <w:num w:numId="29">
    <w:abstractNumId w:val="18"/>
  </w:num>
  <w:num w:numId="30">
    <w:abstractNumId w:val="14"/>
  </w:num>
  <w:num w:numId="31">
    <w:abstractNumId w:val="31"/>
  </w:num>
  <w:num w:numId="32">
    <w:abstractNumId w:val="13"/>
  </w:num>
  <w:num w:numId="33">
    <w:abstractNumId w:val="25"/>
  </w:num>
  <w:num w:numId="34">
    <w:abstractNumId w:val="17"/>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D6AA1"/>
    <w:rsid w:val="000F4121"/>
    <w:rsid w:val="00101DBA"/>
    <w:rsid w:val="00111AB1"/>
    <w:rsid w:val="001A6B73"/>
    <w:rsid w:val="001D1FB0"/>
    <w:rsid w:val="001D7A59"/>
    <w:rsid w:val="001F7A3C"/>
    <w:rsid w:val="00217816"/>
    <w:rsid w:val="00272405"/>
    <w:rsid w:val="002775D5"/>
    <w:rsid w:val="00353AF2"/>
    <w:rsid w:val="0036737C"/>
    <w:rsid w:val="00371719"/>
    <w:rsid w:val="00375912"/>
    <w:rsid w:val="00386672"/>
    <w:rsid w:val="003A2E82"/>
    <w:rsid w:val="003B12E4"/>
    <w:rsid w:val="003B58BC"/>
    <w:rsid w:val="00446E32"/>
    <w:rsid w:val="0046470B"/>
    <w:rsid w:val="004A0325"/>
    <w:rsid w:val="004B144D"/>
    <w:rsid w:val="005861B7"/>
    <w:rsid w:val="006464D2"/>
    <w:rsid w:val="0067246F"/>
    <w:rsid w:val="00693713"/>
    <w:rsid w:val="00693FDA"/>
    <w:rsid w:val="007159F6"/>
    <w:rsid w:val="007B2808"/>
    <w:rsid w:val="0081162B"/>
    <w:rsid w:val="008457D3"/>
    <w:rsid w:val="008836FE"/>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D8B19-121E-4BCC-AE57-1CCE40EB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9</cp:revision>
  <dcterms:created xsi:type="dcterms:W3CDTF">2022-09-26T06:22:00Z</dcterms:created>
  <dcterms:modified xsi:type="dcterms:W3CDTF">2022-09-26T07:59:00Z</dcterms:modified>
</cp:coreProperties>
</file>