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0E38B7" w:rsidRDefault="00353AF2" w:rsidP="00DD6A51">
      <w:pPr>
        <w:pStyle w:val="ListParagraph"/>
        <w:numPr>
          <w:ilvl w:val="0"/>
          <w:numId w:val="29"/>
        </w:numPr>
        <w:spacing w:after="0" w:line="360" w:lineRule="auto"/>
        <w:ind w:left="426"/>
        <w:jc w:val="both"/>
        <w:rPr>
          <w:b/>
          <w:bCs/>
          <w:sz w:val="28"/>
          <w:szCs w:val="28"/>
          <w:highlight w:val="yellow"/>
        </w:rPr>
      </w:pPr>
      <w:r w:rsidRPr="000E38B7">
        <w:rPr>
          <w:b/>
          <w:bCs/>
          <w:sz w:val="28"/>
          <w:szCs w:val="28"/>
          <w:highlight w:val="yellow"/>
        </w:rPr>
        <w:t>ĐẠI CƯƠNG</w:t>
      </w:r>
    </w:p>
    <w:p w14:paraId="25C83EBA" w14:textId="77777777" w:rsidR="00353AF2" w:rsidRPr="000E38B7" w:rsidRDefault="00353AF2" w:rsidP="00DD6A51">
      <w:pPr>
        <w:pStyle w:val="ListParagraph"/>
        <w:numPr>
          <w:ilvl w:val="0"/>
          <w:numId w:val="29"/>
        </w:numPr>
        <w:spacing w:before="120" w:after="0" w:line="360" w:lineRule="auto"/>
        <w:ind w:left="426"/>
        <w:jc w:val="both"/>
        <w:rPr>
          <w:b/>
          <w:bCs/>
          <w:sz w:val="28"/>
          <w:szCs w:val="28"/>
          <w:highlight w:val="yellow"/>
        </w:rPr>
      </w:pPr>
      <w:r w:rsidRPr="000E38B7">
        <w:rPr>
          <w:b/>
          <w:bCs/>
          <w:sz w:val="28"/>
          <w:szCs w:val="28"/>
          <w:highlight w:val="yellow"/>
        </w:rPr>
        <w:t>NGUYÊN NHÂN</w:t>
      </w:r>
    </w:p>
    <w:p w14:paraId="42713DF4" w14:textId="4F122FC2" w:rsidR="00353AF2" w:rsidRPr="000E38B7" w:rsidRDefault="00353AF2" w:rsidP="00DD6A51">
      <w:pPr>
        <w:pStyle w:val="ListParagraph"/>
        <w:numPr>
          <w:ilvl w:val="0"/>
          <w:numId w:val="29"/>
        </w:numPr>
        <w:spacing w:before="120" w:after="0" w:line="360" w:lineRule="auto"/>
        <w:ind w:left="426"/>
        <w:jc w:val="both"/>
        <w:rPr>
          <w:b/>
          <w:bCs/>
          <w:sz w:val="28"/>
          <w:szCs w:val="28"/>
          <w:highlight w:val="yellow"/>
        </w:rPr>
      </w:pPr>
      <w:r w:rsidRPr="000E38B7">
        <w:rPr>
          <w:b/>
          <w:bCs/>
          <w:sz w:val="28"/>
          <w:szCs w:val="28"/>
          <w:highlight w:val="yellow"/>
        </w:rPr>
        <w:t>CHẨN ĐOÁN</w:t>
      </w:r>
    </w:p>
    <w:p w14:paraId="0B70B6A5" w14:textId="1C6DEFB3"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0188232A" w14:textId="1316D94F" w:rsidR="0000719A" w:rsidRPr="0000719A" w:rsidRDefault="0000719A" w:rsidP="0000719A">
      <w:pPr>
        <w:spacing w:after="0" w:line="360" w:lineRule="auto"/>
        <w:jc w:val="both"/>
        <w:rPr>
          <w:rFonts w:eastAsia="Calibri" w:cs="Times New Roman"/>
          <w:b/>
          <w:sz w:val="26"/>
          <w:szCs w:val="26"/>
        </w:rPr>
      </w:pPr>
      <w:r w:rsidRPr="0000719A">
        <w:rPr>
          <w:rFonts w:eastAsia="Calibri" w:cs="Times New Roman"/>
          <w:b/>
          <w:sz w:val="26"/>
          <w:szCs w:val="26"/>
        </w:rPr>
        <w:t>XỬ TRÍ RỐI LOẠN LIPID MÁU:</w:t>
      </w:r>
    </w:p>
    <w:p w14:paraId="5EB9B97A" w14:textId="2B5D3107" w:rsidR="0000719A" w:rsidRPr="0000719A" w:rsidRDefault="0000719A" w:rsidP="0000719A">
      <w:pPr>
        <w:spacing w:after="0" w:line="360" w:lineRule="auto"/>
        <w:jc w:val="both"/>
        <w:rPr>
          <w:rFonts w:eastAsia="Calibri" w:cs="Times New Roman"/>
          <w:b/>
          <w:sz w:val="26"/>
          <w:szCs w:val="26"/>
        </w:rPr>
      </w:pPr>
      <w:r>
        <w:rPr>
          <w:rFonts w:eastAsia="Calibri" w:cs="Times New Roman"/>
          <w:b/>
          <w:sz w:val="26"/>
          <w:szCs w:val="26"/>
        </w:rPr>
        <w:t>4</w:t>
      </w:r>
      <w:r w:rsidRPr="0000719A">
        <w:rPr>
          <w:rFonts w:eastAsia="Calibri" w:cs="Times New Roman"/>
          <w:b/>
          <w:sz w:val="26"/>
          <w:szCs w:val="26"/>
        </w:rPr>
        <w:t>.1 Đánh giá tình trạng RLLM &amp; các YTNC tim mạch đi kèm:</w:t>
      </w:r>
    </w:p>
    <w:p w14:paraId="160D7882"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Thời điểm, cách thức và mức độ xử trí RLLM tùy thuộc vào tình trạng RLLM và các YTNC tim mạch đi kèm. Do vậy, cần đánh giá tình trạng RLLM &amp; các YTNC tim mạch đi kèm trong xử trí RLLM.</w:t>
      </w:r>
    </w:p>
    <w:p w14:paraId="1DD4C37C"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Người ≥ 20 tuổi cần xét nghiệm lipid máu (CT, LDL-C, HDL-C, TG) ít nhất mỗi 5 năm 1 lần</w:t>
      </w:r>
    </w:p>
    <w:p w14:paraId="065C1EA1"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MỨC ĐỘ RLLM THEO NCEP-ATP III</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880"/>
        <w:gridCol w:w="3240"/>
        <w:gridCol w:w="3060"/>
      </w:tblGrid>
      <w:tr w:rsidR="0000719A" w:rsidRPr="0000719A" w14:paraId="7614692E" w14:textId="77777777" w:rsidTr="00BB7C59">
        <w:tc>
          <w:tcPr>
            <w:tcW w:w="1098" w:type="dxa"/>
          </w:tcPr>
          <w:p w14:paraId="170FAAE8"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Lipid</w:t>
            </w:r>
          </w:p>
        </w:tc>
        <w:tc>
          <w:tcPr>
            <w:tcW w:w="2880" w:type="dxa"/>
          </w:tcPr>
          <w:p w14:paraId="4F1C4465"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Mức độ tối ưu/gần tối ưu (mg%)</w:t>
            </w:r>
          </w:p>
        </w:tc>
        <w:tc>
          <w:tcPr>
            <w:tcW w:w="3240" w:type="dxa"/>
          </w:tcPr>
          <w:p w14:paraId="0A78C6CA"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Mức độ nguy cơ cao giới hạn (mg%)</w:t>
            </w:r>
          </w:p>
        </w:tc>
        <w:tc>
          <w:tcPr>
            <w:tcW w:w="3060" w:type="dxa"/>
          </w:tcPr>
          <w:p w14:paraId="566EDCAB"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Mức độ nguy cơ cao/rất cao (mg%)</w:t>
            </w:r>
          </w:p>
        </w:tc>
      </w:tr>
      <w:tr w:rsidR="0000719A" w:rsidRPr="0000719A" w14:paraId="18CC9A6E" w14:textId="77777777" w:rsidTr="00BB7C59">
        <w:trPr>
          <w:trHeight w:val="548"/>
        </w:trPr>
        <w:tc>
          <w:tcPr>
            <w:tcW w:w="1098" w:type="dxa"/>
          </w:tcPr>
          <w:p w14:paraId="0813FA7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CT</w:t>
            </w:r>
          </w:p>
        </w:tc>
        <w:tc>
          <w:tcPr>
            <w:tcW w:w="2880" w:type="dxa"/>
          </w:tcPr>
          <w:p w14:paraId="017D0266"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200</w:t>
            </w:r>
          </w:p>
        </w:tc>
        <w:tc>
          <w:tcPr>
            <w:tcW w:w="3240" w:type="dxa"/>
          </w:tcPr>
          <w:p w14:paraId="33D1C1FF"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200 - 239</w:t>
            </w:r>
          </w:p>
        </w:tc>
        <w:tc>
          <w:tcPr>
            <w:tcW w:w="3060" w:type="dxa"/>
          </w:tcPr>
          <w:p w14:paraId="110C1D4C"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240</w:t>
            </w:r>
          </w:p>
        </w:tc>
      </w:tr>
      <w:tr w:rsidR="0000719A" w:rsidRPr="0000719A" w14:paraId="15DDD8FC" w14:textId="77777777" w:rsidTr="00BB7C59">
        <w:tc>
          <w:tcPr>
            <w:tcW w:w="1098" w:type="dxa"/>
          </w:tcPr>
          <w:p w14:paraId="7C4D376D"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HDL-C</w:t>
            </w:r>
          </w:p>
        </w:tc>
        <w:tc>
          <w:tcPr>
            <w:tcW w:w="2880" w:type="dxa"/>
          </w:tcPr>
          <w:p w14:paraId="39544167"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60</w:t>
            </w:r>
          </w:p>
        </w:tc>
        <w:tc>
          <w:tcPr>
            <w:tcW w:w="3240" w:type="dxa"/>
          </w:tcPr>
          <w:p w14:paraId="705DE4C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40 – 59 (nam)</w:t>
            </w:r>
          </w:p>
          <w:p w14:paraId="5D1DC63C"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50 – 59 (nữ)</w:t>
            </w:r>
          </w:p>
        </w:tc>
        <w:tc>
          <w:tcPr>
            <w:tcW w:w="3060" w:type="dxa"/>
          </w:tcPr>
          <w:p w14:paraId="5A4ACB0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40 (nam)</w:t>
            </w:r>
          </w:p>
          <w:p w14:paraId="025BC69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50 (nữ)</w:t>
            </w:r>
          </w:p>
        </w:tc>
      </w:tr>
      <w:tr w:rsidR="0000719A" w:rsidRPr="0000719A" w14:paraId="7F7CDE4A" w14:textId="77777777" w:rsidTr="00BB7C59">
        <w:tc>
          <w:tcPr>
            <w:tcW w:w="1098" w:type="dxa"/>
          </w:tcPr>
          <w:p w14:paraId="7AD9FE6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LDL-C</w:t>
            </w:r>
          </w:p>
        </w:tc>
        <w:tc>
          <w:tcPr>
            <w:tcW w:w="2880" w:type="dxa"/>
          </w:tcPr>
          <w:p w14:paraId="1800E75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100 tối ưu</w:t>
            </w:r>
          </w:p>
          <w:p w14:paraId="75B7EA9D"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(100 – 129 gần tối ưu)</w:t>
            </w:r>
          </w:p>
        </w:tc>
        <w:tc>
          <w:tcPr>
            <w:tcW w:w="3240" w:type="dxa"/>
          </w:tcPr>
          <w:p w14:paraId="2BB08C76"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130 - 159</w:t>
            </w:r>
          </w:p>
        </w:tc>
        <w:tc>
          <w:tcPr>
            <w:tcW w:w="3060" w:type="dxa"/>
          </w:tcPr>
          <w:p w14:paraId="2F09556C"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160 – 189 cao</w:t>
            </w:r>
          </w:p>
          <w:p w14:paraId="141EDFD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190 rất cao</w:t>
            </w:r>
          </w:p>
        </w:tc>
      </w:tr>
      <w:tr w:rsidR="0000719A" w:rsidRPr="0000719A" w14:paraId="65646D97" w14:textId="77777777" w:rsidTr="00BB7C59">
        <w:tc>
          <w:tcPr>
            <w:tcW w:w="1098" w:type="dxa"/>
          </w:tcPr>
          <w:p w14:paraId="7468B1C5"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TG</w:t>
            </w:r>
          </w:p>
        </w:tc>
        <w:tc>
          <w:tcPr>
            <w:tcW w:w="2880" w:type="dxa"/>
          </w:tcPr>
          <w:p w14:paraId="6F78BA3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150</w:t>
            </w:r>
          </w:p>
        </w:tc>
        <w:tc>
          <w:tcPr>
            <w:tcW w:w="3240" w:type="dxa"/>
          </w:tcPr>
          <w:p w14:paraId="058BCBBC"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150 - 199</w:t>
            </w:r>
          </w:p>
        </w:tc>
        <w:tc>
          <w:tcPr>
            <w:tcW w:w="3060" w:type="dxa"/>
          </w:tcPr>
          <w:p w14:paraId="5F13AE5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200 – 499 cao</w:t>
            </w:r>
          </w:p>
          <w:p w14:paraId="1114C8B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500 rất cao</w:t>
            </w:r>
          </w:p>
        </w:tc>
      </w:tr>
    </w:tbl>
    <w:p w14:paraId="58CD2FA4" w14:textId="77777777" w:rsidR="0000719A" w:rsidRPr="0000719A" w:rsidRDefault="0000719A" w:rsidP="0000719A">
      <w:pPr>
        <w:spacing w:after="0" w:line="360" w:lineRule="auto"/>
        <w:rPr>
          <w:rFonts w:eastAsia="Calibri" w:cs="Times New Roman"/>
          <w:sz w:val="26"/>
          <w:szCs w:val="26"/>
        </w:rPr>
      </w:pPr>
    </w:p>
    <w:p w14:paraId="52A99519"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Đánh giá các nguy cơ tim mạch</w:t>
      </w:r>
      <w:r w:rsidRPr="0000719A">
        <w:rPr>
          <w:rFonts w:eastAsia="Calibri" w:cs="Times New Roman"/>
          <w:sz w:val="26"/>
          <w:szCs w:val="26"/>
        </w:rPr>
        <w:t xml:space="preserve"> đi kèm: theo 4 bước:</w:t>
      </w:r>
    </w:p>
    <w:p w14:paraId="4EC9B6D9" w14:textId="77777777" w:rsidR="0000719A" w:rsidRPr="0000719A" w:rsidRDefault="0000719A" w:rsidP="0000719A">
      <w:pPr>
        <w:numPr>
          <w:ilvl w:val="0"/>
          <w:numId w:val="37"/>
        </w:numPr>
        <w:spacing w:before="240" w:after="0" w:line="360" w:lineRule="auto"/>
        <w:jc w:val="both"/>
        <w:rPr>
          <w:rFonts w:eastAsia="Calibri" w:cs="Times New Roman"/>
          <w:sz w:val="26"/>
          <w:szCs w:val="26"/>
        </w:rPr>
      </w:pPr>
      <w:r w:rsidRPr="0000719A">
        <w:rPr>
          <w:rFonts w:eastAsia="Calibri" w:cs="Times New Roman"/>
          <w:sz w:val="26"/>
          <w:szCs w:val="26"/>
        </w:rPr>
        <w:t>Xác định có / không có bệnh động mạch vành (BMV):</w:t>
      </w:r>
    </w:p>
    <w:p w14:paraId="2B7889B6" w14:textId="77777777" w:rsidR="0000719A" w:rsidRPr="0000719A" w:rsidRDefault="0000719A" w:rsidP="0000719A">
      <w:pPr>
        <w:spacing w:after="0" w:line="360" w:lineRule="auto"/>
        <w:ind w:left="720"/>
        <w:jc w:val="both"/>
        <w:rPr>
          <w:rFonts w:eastAsia="Calibri" w:cs="Times New Roman"/>
          <w:sz w:val="26"/>
          <w:szCs w:val="26"/>
        </w:rPr>
      </w:pPr>
      <w:r w:rsidRPr="0000719A">
        <w:rPr>
          <w:rFonts w:eastAsia="Calibri" w:cs="Times New Roman"/>
          <w:sz w:val="26"/>
          <w:szCs w:val="26"/>
        </w:rPr>
        <w:t>Tiền căn NMCT cấp, bằng chứng của NMCT yên lặng hay bệnh tim thiếu máu cục bộ, tiền căn đau thắt ngực không ổn định (ĐTNKÔĐ) hay ĐTNÔĐ và tiền căn có thủ thuật động mạch vành (nong mạch vành (PCI), phẫu thuật bắc cầu (CABG))</w:t>
      </w:r>
    </w:p>
    <w:p w14:paraId="4A47CDA7" w14:textId="77777777" w:rsidR="0000719A" w:rsidRPr="0000719A" w:rsidRDefault="0000719A" w:rsidP="0000719A">
      <w:pPr>
        <w:numPr>
          <w:ilvl w:val="0"/>
          <w:numId w:val="37"/>
        </w:numPr>
        <w:spacing w:before="240" w:after="0" w:line="360" w:lineRule="auto"/>
        <w:jc w:val="both"/>
        <w:rPr>
          <w:rFonts w:eastAsia="Calibri" w:cs="Times New Roman"/>
          <w:sz w:val="26"/>
          <w:szCs w:val="26"/>
        </w:rPr>
      </w:pPr>
      <w:r w:rsidRPr="0000719A">
        <w:rPr>
          <w:rFonts w:eastAsia="Calibri" w:cs="Times New Roman"/>
          <w:sz w:val="26"/>
          <w:szCs w:val="26"/>
        </w:rPr>
        <w:lastRenderedPageBreak/>
        <w:t>Xác định có / không có YTNC tương đương BMV như:</w:t>
      </w:r>
    </w:p>
    <w:p w14:paraId="3FA964E5" w14:textId="77777777" w:rsidR="0000719A" w:rsidRPr="0000719A" w:rsidRDefault="0000719A" w:rsidP="0000719A">
      <w:pPr>
        <w:numPr>
          <w:ilvl w:val="0"/>
          <w:numId w:val="38"/>
        </w:numPr>
        <w:spacing w:before="240" w:after="0" w:line="360" w:lineRule="auto"/>
        <w:jc w:val="both"/>
        <w:rPr>
          <w:rFonts w:eastAsia="Calibri" w:cs="Times New Roman"/>
          <w:sz w:val="26"/>
          <w:szCs w:val="26"/>
        </w:rPr>
      </w:pPr>
      <w:r w:rsidRPr="0000719A">
        <w:rPr>
          <w:rFonts w:eastAsia="Calibri" w:cs="Times New Roman"/>
          <w:sz w:val="26"/>
          <w:szCs w:val="26"/>
        </w:rPr>
        <w:t>Đái tháo đường (ĐTĐ)</w:t>
      </w:r>
    </w:p>
    <w:p w14:paraId="60908E3D" w14:textId="77777777" w:rsidR="0000719A" w:rsidRPr="0000719A" w:rsidRDefault="0000719A" w:rsidP="0000719A">
      <w:pPr>
        <w:numPr>
          <w:ilvl w:val="0"/>
          <w:numId w:val="38"/>
        </w:numPr>
        <w:spacing w:before="240" w:after="0" w:line="360" w:lineRule="auto"/>
        <w:jc w:val="both"/>
        <w:rPr>
          <w:rFonts w:eastAsia="Calibri" w:cs="Times New Roman"/>
          <w:sz w:val="26"/>
          <w:szCs w:val="26"/>
        </w:rPr>
      </w:pPr>
      <w:r w:rsidRPr="0000719A">
        <w:rPr>
          <w:rFonts w:eastAsia="Calibri" w:cs="Times New Roman"/>
          <w:sz w:val="26"/>
          <w:szCs w:val="26"/>
        </w:rPr>
        <w:t>Bệnh động mạch ngoại biên</w:t>
      </w:r>
    </w:p>
    <w:p w14:paraId="24ADAD54" w14:textId="77777777" w:rsidR="0000719A" w:rsidRPr="0000719A" w:rsidRDefault="0000719A" w:rsidP="0000719A">
      <w:pPr>
        <w:numPr>
          <w:ilvl w:val="0"/>
          <w:numId w:val="38"/>
        </w:numPr>
        <w:spacing w:before="240" w:after="0" w:line="360" w:lineRule="auto"/>
        <w:jc w:val="both"/>
        <w:rPr>
          <w:rFonts w:eastAsia="Calibri" w:cs="Times New Roman"/>
          <w:sz w:val="26"/>
          <w:szCs w:val="26"/>
        </w:rPr>
      </w:pPr>
      <w:r w:rsidRPr="0000719A">
        <w:rPr>
          <w:rFonts w:eastAsia="Calibri" w:cs="Times New Roman"/>
          <w:sz w:val="26"/>
          <w:szCs w:val="26"/>
        </w:rPr>
        <w:t>Phình động mạch chủ bụng</w:t>
      </w:r>
    </w:p>
    <w:p w14:paraId="35DF29F6" w14:textId="77777777" w:rsidR="0000719A" w:rsidRPr="0000719A" w:rsidRDefault="0000719A" w:rsidP="0000719A">
      <w:pPr>
        <w:numPr>
          <w:ilvl w:val="0"/>
          <w:numId w:val="38"/>
        </w:numPr>
        <w:spacing w:before="240" w:after="0" w:line="360" w:lineRule="auto"/>
        <w:jc w:val="both"/>
        <w:rPr>
          <w:rFonts w:eastAsia="Calibri" w:cs="Times New Roman"/>
          <w:sz w:val="26"/>
          <w:szCs w:val="26"/>
        </w:rPr>
      </w:pPr>
      <w:r w:rsidRPr="0000719A">
        <w:rPr>
          <w:rFonts w:eastAsia="Calibri" w:cs="Times New Roman"/>
          <w:sz w:val="26"/>
          <w:szCs w:val="26"/>
        </w:rPr>
        <w:t>Bệnh của động mạch cảnh có triệu chứng như cơn thoáng thiếu máu não (TIA), đột quỵ có nguồn gốc do động mạch cảnh, hay hẹp &gt; 50% ĐMC trên chụp ĐM / siêu âm</w:t>
      </w:r>
    </w:p>
    <w:p w14:paraId="4D598FEB" w14:textId="77777777" w:rsidR="0000719A" w:rsidRPr="0000719A" w:rsidRDefault="0000719A" w:rsidP="0000719A">
      <w:pPr>
        <w:numPr>
          <w:ilvl w:val="0"/>
          <w:numId w:val="38"/>
        </w:numPr>
        <w:spacing w:before="240" w:after="0" w:line="360" w:lineRule="auto"/>
        <w:jc w:val="both"/>
        <w:rPr>
          <w:rFonts w:eastAsia="Calibri" w:cs="Times New Roman"/>
          <w:sz w:val="26"/>
          <w:szCs w:val="26"/>
        </w:rPr>
      </w:pPr>
      <w:r w:rsidRPr="0000719A">
        <w:rPr>
          <w:rFonts w:eastAsia="Calibri" w:cs="Times New Roman"/>
          <w:sz w:val="26"/>
          <w:szCs w:val="26"/>
        </w:rPr>
        <w:t>Bệnh thận mạn (CKD)</w:t>
      </w:r>
    </w:p>
    <w:p w14:paraId="7FF30422" w14:textId="77777777" w:rsidR="0000719A" w:rsidRPr="0000719A" w:rsidRDefault="0000719A" w:rsidP="0000719A">
      <w:pPr>
        <w:numPr>
          <w:ilvl w:val="0"/>
          <w:numId w:val="38"/>
        </w:numPr>
        <w:spacing w:before="240" w:after="0" w:line="360" w:lineRule="auto"/>
        <w:jc w:val="both"/>
        <w:rPr>
          <w:rFonts w:eastAsia="Calibri" w:cs="Times New Roman"/>
          <w:sz w:val="26"/>
          <w:szCs w:val="26"/>
        </w:rPr>
      </w:pPr>
      <w:r w:rsidRPr="0000719A">
        <w:rPr>
          <w:rFonts w:eastAsia="Calibri" w:cs="Times New Roman"/>
          <w:sz w:val="26"/>
          <w:szCs w:val="26"/>
        </w:rPr>
        <w:t>Nguy cơ BMV trong 10 năm tới &gt; 20%</w:t>
      </w:r>
    </w:p>
    <w:p w14:paraId="28F27D6C" w14:textId="77777777" w:rsidR="0000719A" w:rsidRPr="0000719A" w:rsidRDefault="0000719A" w:rsidP="0000719A">
      <w:pPr>
        <w:numPr>
          <w:ilvl w:val="0"/>
          <w:numId w:val="37"/>
        </w:numPr>
        <w:spacing w:before="240" w:after="0" w:line="360" w:lineRule="auto"/>
        <w:jc w:val="both"/>
        <w:rPr>
          <w:rFonts w:eastAsia="Calibri" w:cs="Times New Roman"/>
          <w:sz w:val="26"/>
          <w:szCs w:val="26"/>
        </w:rPr>
      </w:pPr>
      <w:r w:rsidRPr="0000719A">
        <w:rPr>
          <w:rFonts w:eastAsia="Calibri" w:cs="Times New Roman"/>
          <w:sz w:val="26"/>
          <w:szCs w:val="26"/>
        </w:rPr>
        <w:t xml:space="preserve">Đếm các YTNC tim mạch đã có: </w:t>
      </w:r>
    </w:p>
    <w:p w14:paraId="79C24F74" w14:textId="77777777" w:rsidR="0000719A" w:rsidRPr="0000719A" w:rsidRDefault="0000719A" w:rsidP="0000719A">
      <w:pPr>
        <w:numPr>
          <w:ilvl w:val="0"/>
          <w:numId w:val="39"/>
        </w:numPr>
        <w:spacing w:before="240" w:after="0" w:line="360" w:lineRule="auto"/>
        <w:jc w:val="both"/>
        <w:rPr>
          <w:rFonts w:eastAsia="Calibri" w:cs="Times New Roman"/>
          <w:sz w:val="26"/>
          <w:szCs w:val="26"/>
        </w:rPr>
      </w:pPr>
      <w:r w:rsidRPr="0000719A">
        <w:rPr>
          <w:rFonts w:eastAsia="Calibri" w:cs="Times New Roman"/>
          <w:sz w:val="26"/>
          <w:szCs w:val="26"/>
        </w:rPr>
        <w:t>Hút thuốc lá</w:t>
      </w:r>
    </w:p>
    <w:p w14:paraId="2E6F1053" w14:textId="77777777" w:rsidR="0000719A" w:rsidRPr="0000719A" w:rsidRDefault="0000719A" w:rsidP="0000719A">
      <w:pPr>
        <w:numPr>
          <w:ilvl w:val="0"/>
          <w:numId w:val="39"/>
        </w:numPr>
        <w:spacing w:before="240" w:after="0" w:line="360" w:lineRule="auto"/>
        <w:jc w:val="both"/>
        <w:rPr>
          <w:rFonts w:eastAsia="Calibri" w:cs="Times New Roman"/>
          <w:sz w:val="26"/>
          <w:szCs w:val="26"/>
        </w:rPr>
      </w:pPr>
      <w:r w:rsidRPr="0000719A">
        <w:rPr>
          <w:rFonts w:eastAsia="Calibri" w:cs="Times New Roman"/>
          <w:sz w:val="26"/>
          <w:szCs w:val="26"/>
        </w:rPr>
        <w:t>THA (HA ≥ 140/90mmHg hay đang điều trị thuốc hạ HA)</w:t>
      </w:r>
    </w:p>
    <w:p w14:paraId="75D20B4D" w14:textId="77777777" w:rsidR="0000719A" w:rsidRPr="0000719A" w:rsidRDefault="0000719A" w:rsidP="0000719A">
      <w:pPr>
        <w:numPr>
          <w:ilvl w:val="0"/>
          <w:numId w:val="39"/>
        </w:numPr>
        <w:spacing w:before="240" w:after="0" w:line="360" w:lineRule="auto"/>
        <w:jc w:val="both"/>
        <w:rPr>
          <w:rFonts w:eastAsia="Calibri" w:cs="Times New Roman"/>
          <w:sz w:val="26"/>
          <w:szCs w:val="26"/>
        </w:rPr>
      </w:pPr>
      <w:r w:rsidRPr="0000719A">
        <w:rPr>
          <w:rFonts w:eastAsia="Calibri" w:cs="Times New Roman"/>
          <w:sz w:val="26"/>
          <w:szCs w:val="26"/>
        </w:rPr>
        <w:t>HDL-C thấp (&lt; 40mg%)</w:t>
      </w:r>
    </w:p>
    <w:p w14:paraId="1608904C" w14:textId="77777777" w:rsidR="0000719A" w:rsidRPr="0000719A" w:rsidRDefault="0000719A" w:rsidP="0000719A">
      <w:pPr>
        <w:numPr>
          <w:ilvl w:val="0"/>
          <w:numId w:val="39"/>
        </w:numPr>
        <w:spacing w:before="240" w:after="0" w:line="360" w:lineRule="auto"/>
        <w:jc w:val="both"/>
        <w:rPr>
          <w:rFonts w:eastAsia="Calibri" w:cs="Times New Roman"/>
          <w:sz w:val="26"/>
          <w:szCs w:val="26"/>
        </w:rPr>
      </w:pPr>
      <w:r w:rsidRPr="0000719A">
        <w:rPr>
          <w:rFonts w:eastAsia="Calibri" w:cs="Times New Roman"/>
          <w:sz w:val="26"/>
          <w:szCs w:val="26"/>
        </w:rPr>
        <w:t>Tiền căn gia đình có BMV sớm (nam &lt; 55 tuổi, nữ &lt; 65 tuổi, thế hệ thứ nhất)</w:t>
      </w:r>
    </w:p>
    <w:p w14:paraId="619468E2" w14:textId="77777777" w:rsidR="0000719A" w:rsidRPr="0000719A" w:rsidRDefault="0000719A" w:rsidP="0000719A">
      <w:pPr>
        <w:numPr>
          <w:ilvl w:val="0"/>
          <w:numId w:val="39"/>
        </w:numPr>
        <w:spacing w:before="240" w:after="0" w:line="360" w:lineRule="auto"/>
        <w:jc w:val="both"/>
        <w:rPr>
          <w:rFonts w:eastAsia="Calibri" w:cs="Times New Roman"/>
          <w:sz w:val="26"/>
          <w:szCs w:val="26"/>
        </w:rPr>
      </w:pPr>
      <w:r w:rsidRPr="0000719A">
        <w:rPr>
          <w:rFonts w:eastAsia="Calibri" w:cs="Times New Roman"/>
          <w:sz w:val="26"/>
          <w:szCs w:val="26"/>
        </w:rPr>
        <w:t xml:space="preserve">Tuổi </w:t>
      </w:r>
      <w:proofErr w:type="gramStart"/>
      <w:r w:rsidRPr="0000719A">
        <w:rPr>
          <w:rFonts w:eastAsia="Calibri" w:cs="Times New Roman"/>
          <w:sz w:val="26"/>
          <w:szCs w:val="26"/>
        </w:rPr>
        <w:t>( nam</w:t>
      </w:r>
      <w:proofErr w:type="gramEnd"/>
      <w:r w:rsidRPr="0000719A">
        <w:rPr>
          <w:rFonts w:eastAsia="Calibri" w:cs="Times New Roman"/>
          <w:sz w:val="26"/>
          <w:szCs w:val="26"/>
        </w:rPr>
        <w:t xml:space="preserve"> ≥ 45, nữ ≥ 55 tuổi)</w:t>
      </w:r>
    </w:p>
    <w:p w14:paraId="15888590" w14:textId="77777777" w:rsidR="0000719A" w:rsidRPr="0000719A" w:rsidRDefault="0000719A" w:rsidP="0000719A">
      <w:pPr>
        <w:numPr>
          <w:ilvl w:val="0"/>
          <w:numId w:val="37"/>
        </w:numPr>
        <w:spacing w:before="240" w:after="0" w:line="360" w:lineRule="auto"/>
        <w:jc w:val="both"/>
        <w:rPr>
          <w:rFonts w:eastAsia="Calibri" w:cs="Times New Roman"/>
          <w:sz w:val="26"/>
          <w:szCs w:val="26"/>
        </w:rPr>
      </w:pPr>
      <w:r w:rsidRPr="0000719A">
        <w:rPr>
          <w:rFonts w:eastAsia="Calibri" w:cs="Times New Roman"/>
          <w:sz w:val="26"/>
          <w:szCs w:val="26"/>
        </w:rPr>
        <w:t>Ở người có ≥ 2 YTNC tim mạch, đánh giá nguy cơ BMV 10 năm theo thang điểm</w:t>
      </w:r>
    </w:p>
    <w:p w14:paraId="3178A886" w14:textId="77777777" w:rsidR="0000719A" w:rsidRPr="0000719A" w:rsidRDefault="0000719A" w:rsidP="0000719A">
      <w:pPr>
        <w:spacing w:after="0" w:line="360" w:lineRule="auto"/>
        <w:ind w:left="720"/>
        <w:jc w:val="both"/>
        <w:rPr>
          <w:rFonts w:eastAsia="Calibri" w:cs="Times New Roman"/>
          <w:sz w:val="26"/>
          <w:szCs w:val="26"/>
        </w:rPr>
      </w:pPr>
      <w:r w:rsidRPr="0000719A">
        <w:rPr>
          <w:rFonts w:eastAsia="Calibri" w:cs="Times New Roman"/>
          <w:sz w:val="26"/>
          <w:szCs w:val="26"/>
        </w:rPr>
        <w:t>Framingham: &lt; 10%, 10 – 20%, &gt; 20% (xem phụ lục bên dưới)</w:t>
      </w:r>
    </w:p>
    <w:p w14:paraId="7CE5F3E5"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Các YTNC khác gồm: béo phì, ít vận động thể lực, chế độ ăn gây XVĐM, tăng lipoprotein (a), tăng homocysteine, các yếu tố tiền viêm và tiền đông, không dung nạp glucose, các biểu hiện của XVĐM dưới mức lâm sàng</w:t>
      </w:r>
    </w:p>
    <w:p w14:paraId="1CCA8284" w14:textId="609622C0" w:rsidR="0000719A" w:rsidRPr="0000719A" w:rsidRDefault="0000719A" w:rsidP="0000719A">
      <w:pPr>
        <w:spacing w:after="0" w:line="360" w:lineRule="auto"/>
        <w:jc w:val="both"/>
        <w:rPr>
          <w:rFonts w:eastAsia="Calibri" w:cs="Times New Roman"/>
          <w:b/>
          <w:sz w:val="26"/>
          <w:szCs w:val="26"/>
        </w:rPr>
      </w:pPr>
      <w:r>
        <w:rPr>
          <w:rFonts w:eastAsia="Calibri" w:cs="Times New Roman"/>
          <w:b/>
          <w:sz w:val="26"/>
          <w:szCs w:val="26"/>
        </w:rPr>
        <w:t>4</w:t>
      </w:r>
      <w:r w:rsidRPr="0000719A">
        <w:rPr>
          <w:rFonts w:eastAsia="Calibri" w:cs="Times New Roman"/>
          <w:b/>
          <w:sz w:val="26"/>
          <w:szCs w:val="26"/>
        </w:rPr>
        <w:t xml:space="preserve">.2 Xử trí: </w:t>
      </w:r>
    </w:p>
    <w:p w14:paraId="1FFDD23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lastRenderedPageBreak/>
        <w:t>Dùng phương pháp điều trị thay đổi lối sống phối hợp với điều trị bằng thuốc để đạt được các mục tiêu điều trị theo từng loại RLLM và theo từng nhóm đối tượng nguy cơ</w:t>
      </w:r>
    </w:p>
    <w:p w14:paraId="6775DCF8" w14:textId="70218D96" w:rsidR="0000719A" w:rsidRPr="0000719A" w:rsidRDefault="0000719A" w:rsidP="0000719A">
      <w:pPr>
        <w:pStyle w:val="ListParagraph"/>
        <w:numPr>
          <w:ilvl w:val="2"/>
          <w:numId w:val="41"/>
        </w:numPr>
        <w:spacing w:before="240" w:after="0" w:line="360" w:lineRule="auto"/>
        <w:rPr>
          <w:rFonts w:eastAsia="Calibri" w:cs="Times New Roman"/>
          <w:b/>
          <w:sz w:val="26"/>
          <w:szCs w:val="26"/>
        </w:rPr>
      </w:pPr>
      <w:r w:rsidRPr="0000719A">
        <w:rPr>
          <w:rFonts w:eastAsia="Calibri" w:cs="Times New Roman"/>
          <w:b/>
          <w:sz w:val="26"/>
          <w:szCs w:val="26"/>
        </w:rPr>
        <w:t>Khi LDL-C cao:</w:t>
      </w:r>
    </w:p>
    <w:p w14:paraId="2FAB0C42"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Khuyến cáo điều trị RLLM theo mức độ LDL-C</w:t>
      </w:r>
    </w:p>
    <w:tbl>
      <w:tblPr>
        <w:tblW w:w="94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2122"/>
        <w:gridCol w:w="2700"/>
        <w:gridCol w:w="2160"/>
      </w:tblGrid>
      <w:tr w:rsidR="0000719A" w:rsidRPr="0000719A" w14:paraId="1D445218" w14:textId="77777777" w:rsidTr="00BB7C59">
        <w:tc>
          <w:tcPr>
            <w:tcW w:w="2468" w:type="dxa"/>
          </w:tcPr>
          <w:p w14:paraId="5002049C"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Loại NC</w:t>
            </w:r>
          </w:p>
        </w:tc>
        <w:tc>
          <w:tcPr>
            <w:tcW w:w="2122" w:type="dxa"/>
          </w:tcPr>
          <w:p w14:paraId="7877BD32"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Mục tiêu LDL-C</w:t>
            </w:r>
          </w:p>
          <w:p w14:paraId="24A20FEA" w14:textId="77777777" w:rsidR="0000719A" w:rsidRPr="0000719A" w:rsidRDefault="0000719A" w:rsidP="0000719A">
            <w:pPr>
              <w:spacing w:after="0" w:line="360" w:lineRule="auto"/>
              <w:jc w:val="center"/>
              <w:rPr>
                <w:rFonts w:eastAsia="Calibri" w:cs="Times New Roman"/>
                <w:b/>
                <w:sz w:val="26"/>
                <w:szCs w:val="26"/>
              </w:rPr>
            </w:pPr>
          </w:p>
        </w:tc>
        <w:tc>
          <w:tcPr>
            <w:tcW w:w="2700" w:type="dxa"/>
          </w:tcPr>
          <w:p w14:paraId="78495B72"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Mức LDL-C cần TĐLS</w:t>
            </w:r>
          </w:p>
          <w:p w14:paraId="314623A5" w14:textId="77777777" w:rsidR="0000719A" w:rsidRPr="0000719A" w:rsidRDefault="0000719A" w:rsidP="0000719A">
            <w:pPr>
              <w:spacing w:after="0" w:line="360" w:lineRule="auto"/>
              <w:jc w:val="center"/>
              <w:rPr>
                <w:rFonts w:eastAsia="Calibri" w:cs="Times New Roman"/>
                <w:b/>
                <w:sz w:val="26"/>
                <w:szCs w:val="26"/>
              </w:rPr>
            </w:pPr>
          </w:p>
        </w:tc>
        <w:tc>
          <w:tcPr>
            <w:tcW w:w="2160" w:type="dxa"/>
          </w:tcPr>
          <w:p w14:paraId="6AD234E6"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Mức LDL-C cần dùng thuốc</w:t>
            </w:r>
          </w:p>
        </w:tc>
      </w:tr>
      <w:tr w:rsidR="0000719A" w:rsidRPr="0000719A" w14:paraId="726C3FC0" w14:textId="77777777" w:rsidTr="00BB7C59">
        <w:tc>
          <w:tcPr>
            <w:tcW w:w="2468" w:type="dxa"/>
          </w:tcPr>
          <w:p w14:paraId="610E23F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cao</w:t>
            </w:r>
          </w:p>
          <w:p w14:paraId="76873609"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(BMV hay tương đương BMV)</w:t>
            </w:r>
          </w:p>
        </w:tc>
        <w:tc>
          <w:tcPr>
            <w:tcW w:w="2122" w:type="dxa"/>
          </w:tcPr>
          <w:p w14:paraId="3C31000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100 mg%</w:t>
            </w:r>
          </w:p>
          <w:p w14:paraId="3EDA5FF6"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Tối ưu &lt; 70 mg%</w:t>
            </w:r>
          </w:p>
        </w:tc>
        <w:tc>
          <w:tcPr>
            <w:tcW w:w="2700" w:type="dxa"/>
          </w:tcPr>
          <w:p w14:paraId="5AA0374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70 mg%</w:t>
            </w:r>
          </w:p>
        </w:tc>
        <w:tc>
          <w:tcPr>
            <w:tcW w:w="2160" w:type="dxa"/>
          </w:tcPr>
          <w:p w14:paraId="4F75B9F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100 mg%</w:t>
            </w:r>
          </w:p>
        </w:tc>
      </w:tr>
      <w:tr w:rsidR="0000719A" w:rsidRPr="0000719A" w14:paraId="4621BED0" w14:textId="77777777" w:rsidTr="00BB7C59">
        <w:tc>
          <w:tcPr>
            <w:tcW w:w="2468" w:type="dxa"/>
          </w:tcPr>
          <w:p w14:paraId="3DD68EBA"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trung bình – cao</w:t>
            </w:r>
          </w:p>
          <w:p w14:paraId="6B2E57A6"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xml:space="preserve"> (≥ 2 YTNC và NC 10 năm 10 – 20%)</w:t>
            </w:r>
          </w:p>
        </w:tc>
        <w:tc>
          <w:tcPr>
            <w:tcW w:w="2122" w:type="dxa"/>
          </w:tcPr>
          <w:p w14:paraId="6BE57297"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130 mg%</w:t>
            </w:r>
          </w:p>
          <w:p w14:paraId="5C69EB49"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Tối ưu &lt; 100 mg%</w:t>
            </w:r>
          </w:p>
        </w:tc>
        <w:tc>
          <w:tcPr>
            <w:tcW w:w="2700" w:type="dxa"/>
          </w:tcPr>
          <w:p w14:paraId="66744707"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100 mg%</w:t>
            </w:r>
          </w:p>
        </w:tc>
        <w:tc>
          <w:tcPr>
            <w:tcW w:w="2160" w:type="dxa"/>
          </w:tcPr>
          <w:p w14:paraId="15D5CCE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100 – 129 mg%</w:t>
            </w:r>
          </w:p>
        </w:tc>
      </w:tr>
      <w:tr w:rsidR="0000719A" w:rsidRPr="0000719A" w14:paraId="14B0BF19" w14:textId="77777777" w:rsidTr="00BB7C59">
        <w:tc>
          <w:tcPr>
            <w:tcW w:w="2468" w:type="dxa"/>
          </w:tcPr>
          <w:p w14:paraId="17A1FAB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trung bình</w:t>
            </w:r>
          </w:p>
          <w:p w14:paraId="3C1B3CEE"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2 YTNC và NC 10 năm &lt; 10%)</w:t>
            </w:r>
          </w:p>
        </w:tc>
        <w:tc>
          <w:tcPr>
            <w:tcW w:w="2122" w:type="dxa"/>
          </w:tcPr>
          <w:p w14:paraId="7BFD4E2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130 mg%</w:t>
            </w:r>
          </w:p>
        </w:tc>
        <w:tc>
          <w:tcPr>
            <w:tcW w:w="2700" w:type="dxa"/>
          </w:tcPr>
          <w:p w14:paraId="3FAB0F65"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130 mg%</w:t>
            </w:r>
          </w:p>
        </w:tc>
        <w:tc>
          <w:tcPr>
            <w:tcW w:w="2160" w:type="dxa"/>
          </w:tcPr>
          <w:p w14:paraId="207A739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160 mg%</w:t>
            </w:r>
          </w:p>
        </w:tc>
      </w:tr>
      <w:tr w:rsidR="0000719A" w:rsidRPr="0000719A" w14:paraId="1A6EF4DF" w14:textId="77777777" w:rsidTr="00BB7C59">
        <w:tc>
          <w:tcPr>
            <w:tcW w:w="2468" w:type="dxa"/>
          </w:tcPr>
          <w:p w14:paraId="5B9FDCC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thấp (≤ 1 YTNC)</w:t>
            </w:r>
          </w:p>
        </w:tc>
        <w:tc>
          <w:tcPr>
            <w:tcW w:w="2122" w:type="dxa"/>
          </w:tcPr>
          <w:p w14:paraId="1EE49435"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160 mg%</w:t>
            </w:r>
          </w:p>
        </w:tc>
        <w:tc>
          <w:tcPr>
            <w:tcW w:w="2700" w:type="dxa"/>
          </w:tcPr>
          <w:p w14:paraId="421682A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160 mg%</w:t>
            </w:r>
          </w:p>
        </w:tc>
        <w:tc>
          <w:tcPr>
            <w:tcW w:w="2160" w:type="dxa"/>
          </w:tcPr>
          <w:p w14:paraId="749F32D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190 mg%</w:t>
            </w:r>
          </w:p>
        </w:tc>
      </w:tr>
    </w:tbl>
    <w:p w14:paraId="2DB4C57C" w14:textId="77777777" w:rsidR="0000719A" w:rsidRPr="0000719A" w:rsidRDefault="0000719A" w:rsidP="0000719A">
      <w:pPr>
        <w:spacing w:after="0" w:line="360" w:lineRule="auto"/>
        <w:rPr>
          <w:rFonts w:eastAsia="Calibri" w:cs="Times New Roman"/>
          <w:sz w:val="26"/>
          <w:szCs w:val="26"/>
        </w:rPr>
      </w:pPr>
    </w:p>
    <w:p w14:paraId="0B0901EA" w14:textId="165B2827" w:rsidR="0000719A" w:rsidRPr="0000719A" w:rsidRDefault="0000719A" w:rsidP="0000719A">
      <w:pPr>
        <w:spacing w:after="0" w:line="360" w:lineRule="auto"/>
        <w:rPr>
          <w:rFonts w:eastAsia="Calibri" w:cs="Times New Roman"/>
          <w:b/>
          <w:sz w:val="26"/>
          <w:szCs w:val="26"/>
        </w:rPr>
      </w:pPr>
      <w:r>
        <w:rPr>
          <w:rFonts w:eastAsia="Calibri" w:cs="Times New Roman"/>
          <w:b/>
          <w:sz w:val="26"/>
          <w:szCs w:val="26"/>
        </w:rPr>
        <w:t>4</w:t>
      </w:r>
      <w:r w:rsidRPr="0000719A">
        <w:rPr>
          <w:rFonts w:eastAsia="Calibri" w:cs="Times New Roman"/>
          <w:b/>
          <w:sz w:val="26"/>
          <w:szCs w:val="26"/>
        </w:rPr>
        <w:t>.2.2 Khi Triglyceride cao:</w:t>
      </w:r>
    </w:p>
    <w:p w14:paraId="739B15A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Đưa LDL-C về mức mục tiêu trước</w:t>
      </w:r>
    </w:p>
    <w:p w14:paraId="1F9A3828"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Nếu TG ≥ 500 mg%, ưu tiên đưa TG về mức mục tiêu trước sau đó mới điều chỉnh mức LDL-C</w:t>
      </w:r>
    </w:p>
    <w:p w14:paraId="7A690881"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Khi đã đưa LDL-C về mức mục tiêu mà TG còn cao (200 – 499 mg%) thì việc điều trị tập trung vào mục tiêu của “non HDL-C”. “non HDL-C” là tổng của LDL-C &amp; VLDL-</w:t>
      </w:r>
      <w:proofErr w:type="gramStart"/>
      <w:r w:rsidRPr="0000719A">
        <w:rPr>
          <w:rFonts w:eastAsia="Calibri" w:cs="Times New Roman"/>
          <w:sz w:val="26"/>
          <w:szCs w:val="26"/>
        </w:rPr>
        <w:t>C  và</w:t>
      </w:r>
      <w:proofErr w:type="gramEnd"/>
      <w:r w:rsidRPr="0000719A">
        <w:rPr>
          <w:rFonts w:eastAsia="Calibri" w:cs="Times New Roman"/>
          <w:sz w:val="26"/>
          <w:szCs w:val="26"/>
        </w:rPr>
        <w:t xml:space="preserve"> thường được tính như sau:</w:t>
      </w:r>
    </w:p>
    <w:p w14:paraId="2A7842FD"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CT = HDL-C + LDL-C + VLDL-C</w:t>
      </w:r>
    </w:p>
    <w:p w14:paraId="62AE9CC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“non HDL-C” = CT – HDL-C</w:t>
      </w:r>
    </w:p>
    <w:p w14:paraId="5FC17953"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Khuyến cáo điều trị RLLM theo mức độ “non HDL-C”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2406"/>
        <w:gridCol w:w="3192"/>
      </w:tblGrid>
      <w:tr w:rsidR="0000719A" w:rsidRPr="0000719A" w14:paraId="5537A0EC" w14:textId="77777777" w:rsidTr="00BB7C59">
        <w:trPr>
          <w:jc w:val="center"/>
        </w:trPr>
        <w:tc>
          <w:tcPr>
            <w:tcW w:w="3978" w:type="dxa"/>
          </w:tcPr>
          <w:p w14:paraId="1C5848BC"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lastRenderedPageBreak/>
              <w:t>Loại NC</w:t>
            </w:r>
          </w:p>
        </w:tc>
        <w:tc>
          <w:tcPr>
            <w:tcW w:w="2406" w:type="dxa"/>
          </w:tcPr>
          <w:p w14:paraId="01EB1723"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Mục tiêu LDL-C</w:t>
            </w:r>
          </w:p>
        </w:tc>
        <w:tc>
          <w:tcPr>
            <w:tcW w:w="3192" w:type="dxa"/>
          </w:tcPr>
          <w:p w14:paraId="32E34E17"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Mục tiêu “NON HDL-C”</w:t>
            </w:r>
          </w:p>
        </w:tc>
      </w:tr>
      <w:tr w:rsidR="0000719A" w:rsidRPr="0000719A" w14:paraId="50D2CC8F" w14:textId="77777777" w:rsidTr="00BB7C59">
        <w:trPr>
          <w:jc w:val="center"/>
        </w:trPr>
        <w:tc>
          <w:tcPr>
            <w:tcW w:w="3978" w:type="dxa"/>
          </w:tcPr>
          <w:p w14:paraId="52256309"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cao</w:t>
            </w:r>
          </w:p>
          <w:p w14:paraId="7F554049"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(BMV hay tương đương BMV)</w:t>
            </w:r>
          </w:p>
        </w:tc>
        <w:tc>
          <w:tcPr>
            <w:tcW w:w="2406" w:type="dxa"/>
          </w:tcPr>
          <w:p w14:paraId="04901F9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100 mg%</w:t>
            </w:r>
          </w:p>
          <w:p w14:paraId="2817B8A5"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Tối ưu &lt; 70 mg%</w:t>
            </w:r>
          </w:p>
        </w:tc>
        <w:tc>
          <w:tcPr>
            <w:tcW w:w="3192" w:type="dxa"/>
          </w:tcPr>
          <w:p w14:paraId="311369E9"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130 mg%</w:t>
            </w:r>
          </w:p>
        </w:tc>
      </w:tr>
      <w:tr w:rsidR="0000719A" w:rsidRPr="0000719A" w14:paraId="7645B99A" w14:textId="77777777" w:rsidTr="00BB7C59">
        <w:trPr>
          <w:jc w:val="center"/>
        </w:trPr>
        <w:tc>
          <w:tcPr>
            <w:tcW w:w="3978" w:type="dxa"/>
          </w:tcPr>
          <w:p w14:paraId="41FE7DA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xml:space="preserve">NC trung bình – cao </w:t>
            </w:r>
          </w:p>
          <w:p w14:paraId="5B26C17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2 YTNC và NC 10 năm: 10 – 20%)</w:t>
            </w:r>
          </w:p>
        </w:tc>
        <w:tc>
          <w:tcPr>
            <w:tcW w:w="2406" w:type="dxa"/>
          </w:tcPr>
          <w:p w14:paraId="78D7BCC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130 mg%</w:t>
            </w:r>
          </w:p>
          <w:p w14:paraId="0771148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Tối ưu &lt; 100 mg%</w:t>
            </w:r>
          </w:p>
        </w:tc>
        <w:tc>
          <w:tcPr>
            <w:tcW w:w="3192" w:type="dxa"/>
          </w:tcPr>
          <w:p w14:paraId="182C4AFE"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160 mg%</w:t>
            </w:r>
          </w:p>
        </w:tc>
      </w:tr>
      <w:tr w:rsidR="0000719A" w:rsidRPr="0000719A" w14:paraId="4D7D640E" w14:textId="77777777" w:rsidTr="00BB7C59">
        <w:trPr>
          <w:jc w:val="center"/>
        </w:trPr>
        <w:tc>
          <w:tcPr>
            <w:tcW w:w="3978" w:type="dxa"/>
          </w:tcPr>
          <w:p w14:paraId="6BEE4626"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trung bình</w:t>
            </w:r>
          </w:p>
          <w:p w14:paraId="2F060DBA"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2 YTNC và NC 10 năm &lt; 10%)</w:t>
            </w:r>
          </w:p>
        </w:tc>
        <w:tc>
          <w:tcPr>
            <w:tcW w:w="2406" w:type="dxa"/>
          </w:tcPr>
          <w:p w14:paraId="16495E0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130 mg%</w:t>
            </w:r>
          </w:p>
        </w:tc>
        <w:tc>
          <w:tcPr>
            <w:tcW w:w="3192" w:type="dxa"/>
          </w:tcPr>
          <w:p w14:paraId="17A91AFF"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160 mg%</w:t>
            </w:r>
          </w:p>
        </w:tc>
      </w:tr>
      <w:tr w:rsidR="0000719A" w:rsidRPr="0000719A" w14:paraId="1D1D3C03" w14:textId="77777777" w:rsidTr="00BB7C59">
        <w:trPr>
          <w:jc w:val="center"/>
        </w:trPr>
        <w:tc>
          <w:tcPr>
            <w:tcW w:w="3978" w:type="dxa"/>
          </w:tcPr>
          <w:p w14:paraId="5E74487F"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NC thấp</w:t>
            </w:r>
          </w:p>
          <w:p w14:paraId="2E0E210E"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( 0 – 1 YTNC)</w:t>
            </w:r>
          </w:p>
        </w:tc>
        <w:tc>
          <w:tcPr>
            <w:tcW w:w="2406" w:type="dxa"/>
          </w:tcPr>
          <w:p w14:paraId="6F16E5A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160 mg%</w:t>
            </w:r>
          </w:p>
        </w:tc>
        <w:tc>
          <w:tcPr>
            <w:tcW w:w="3192" w:type="dxa"/>
          </w:tcPr>
          <w:p w14:paraId="5C755A7C"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&lt; 190 mg%</w:t>
            </w:r>
          </w:p>
        </w:tc>
      </w:tr>
    </w:tbl>
    <w:p w14:paraId="05940753" w14:textId="77777777" w:rsidR="0000719A" w:rsidRPr="0000719A" w:rsidRDefault="0000719A" w:rsidP="0000719A">
      <w:pPr>
        <w:spacing w:after="0" w:line="360" w:lineRule="auto"/>
        <w:rPr>
          <w:rFonts w:eastAsia="Calibri" w:cs="Times New Roman"/>
          <w:sz w:val="26"/>
          <w:szCs w:val="26"/>
        </w:rPr>
      </w:pPr>
    </w:p>
    <w:p w14:paraId="1AE9B287" w14:textId="660F87EB" w:rsidR="0000719A" w:rsidRPr="0000719A" w:rsidRDefault="0000719A" w:rsidP="0000719A">
      <w:pPr>
        <w:spacing w:after="0" w:line="360" w:lineRule="auto"/>
        <w:jc w:val="both"/>
        <w:rPr>
          <w:rFonts w:eastAsia="Calibri" w:cs="Times New Roman"/>
          <w:sz w:val="26"/>
          <w:szCs w:val="26"/>
        </w:rPr>
      </w:pPr>
      <w:r>
        <w:rPr>
          <w:rFonts w:eastAsia="Calibri" w:cs="Times New Roman"/>
          <w:b/>
          <w:sz w:val="26"/>
          <w:szCs w:val="26"/>
        </w:rPr>
        <w:t>4</w:t>
      </w:r>
      <w:r w:rsidRPr="0000719A">
        <w:rPr>
          <w:rFonts w:eastAsia="Calibri" w:cs="Times New Roman"/>
          <w:b/>
          <w:sz w:val="26"/>
          <w:szCs w:val="26"/>
        </w:rPr>
        <w:t>.2.3 Khi HDL-C thấp (&lt; 40 mg%):</w:t>
      </w:r>
      <w:r w:rsidRPr="0000719A">
        <w:rPr>
          <w:rFonts w:eastAsia="Calibri" w:cs="Times New Roman"/>
          <w:sz w:val="26"/>
          <w:szCs w:val="26"/>
        </w:rPr>
        <w:t xml:space="preserve"> Mức HDL-C mục tiêu tối thiểu cần đạt &gt; 40 mg%</w:t>
      </w:r>
    </w:p>
    <w:p w14:paraId="1272A170"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Đưa LDL-C về mục tiêu trước</w:t>
      </w:r>
    </w:p>
    <w:p w14:paraId="52A80899"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Nếu kèm tăng TG (200 – 499 mg%): phải điều chỉnh “non HDL-C” về mức mục tiêu</w:t>
      </w:r>
    </w:p>
    <w:p w14:paraId="135EB74B"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xml:space="preserve">- Nếu HDL-C thấp đơn thuần: thay đổi lối sống gồm giảm cân, tăng hoạt động thể lực, ngưng hút thuốc </w:t>
      </w:r>
      <w:proofErr w:type="gramStart"/>
      <w:r w:rsidRPr="0000719A">
        <w:rPr>
          <w:rFonts w:eastAsia="Calibri" w:cs="Times New Roman"/>
          <w:sz w:val="26"/>
          <w:szCs w:val="26"/>
        </w:rPr>
        <w:t>lá,…</w:t>
      </w:r>
      <w:proofErr w:type="gramEnd"/>
    </w:p>
    <w:p w14:paraId="33AA665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Nếu HDL-C thấp đơn thuần kèm YTNC là BMV hay tương đương BMV thì thay đổi lối sống kết hợp với dùng thuốc (Fibrate hay nicotinic acid) để đưa HDL-C về mục tiêu</w:t>
      </w:r>
    </w:p>
    <w:p w14:paraId="2B247331" w14:textId="77777777" w:rsidR="0000719A" w:rsidRPr="0000719A" w:rsidRDefault="0000719A" w:rsidP="0000719A">
      <w:pPr>
        <w:spacing w:after="0" w:line="360" w:lineRule="auto"/>
        <w:jc w:val="both"/>
        <w:rPr>
          <w:rFonts w:eastAsia="Calibri" w:cs="Times New Roman"/>
          <w:b/>
          <w:sz w:val="26"/>
          <w:szCs w:val="26"/>
        </w:rPr>
      </w:pPr>
    </w:p>
    <w:p w14:paraId="3063EE00" w14:textId="25B2E0E1" w:rsidR="0000719A" w:rsidRPr="0000719A" w:rsidRDefault="0000719A" w:rsidP="0000719A">
      <w:pPr>
        <w:spacing w:after="0" w:line="360" w:lineRule="auto"/>
        <w:jc w:val="both"/>
        <w:rPr>
          <w:rFonts w:eastAsia="Calibri" w:cs="Times New Roman"/>
          <w:b/>
          <w:sz w:val="26"/>
          <w:szCs w:val="26"/>
        </w:rPr>
      </w:pPr>
      <w:r>
        <w:rPr>
          <w:rFonts w:eastAsia="Calibri" w:cs="Times New Roman"/>
          <w:b/>
          <w:sz w:val="26"/>
          <w:szCs w:val="26"/>
        </w:rPr>
        <w:t>4.3</w:t>
      </w:r>
      <w:r w:rsidRPr="0000719A">
        <w:rPr>
          <w:rFonts w:eastAsia="Calibri" w:cs="Times New Roman"/>
          <w:b/>
          <w:sz w:val="26"/>
          <w:szCs w:val="26"/>
        </w:rPr>
        <w:t xml:space="preserve"> Phương pháp điều trị RLLM:</w:t>
      </w:r>
    </w:p>
    <w:p w14:paraId="04AE4F9E" w14:textId="4A43794F" w:rsidR="0000719A" w:rsidRPr="0000719A" w:rsidRDefault="0000719A" w:rsidP="0000719A">
      <w:pPr>
        <w:spacing w:after="0" w:line="360" w:lineRule="auto"/>
        <w:jc w:val="both"/>
        <w:rPr>
          <w:rFonts w:eastAsia="Calibri" w:cs="Times New Roman"/>
          <w:b/>
          <w:sz w:val="26"/>
          <w:szCs w:val="26"/>
        </w:rPr>
      </w:pPr>
      <w:r>
        <w:rPr>
          <w:rFonts w:eastAsia="Calibri" w:cs="Times New Roman"/>
          <w:b/>
          <w:sz w:val="26"/>
          <w:szCs w:val="26"/>
        </w:rPr>
        <w:t>4</w:t>
      </w:r>
      <w:r w:rsidRPr="0000719A">
        <w:rPr>
          <w:rFonts w:eastAsia="Calibri" w:cs="Times New Roman"/>
          <w:b/>
          <w:sz w:val="26"/>
          <w:szCs w:val="26"/>
        </w:rPr>
        <w:t>.3.1 Điều trị bằng thay đổi lối sống (TĐLS):</w:t>
      </w:r>
    </w:p>
    <w:p w14:paraId="2E311D2B"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Giới hạn thời gian không vận động dưới 2 giờ mỗi ngày và tăng thời gian hoạt động mạnh lên hơn 60 phút mỗi ngày. Cần được duy trì đều đặn ít nhất 3 – 4 lần / tuần.</w:t>
      </w:r>
    </w:p>
    <w:p w14:paraId="2D38BA03"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Ngưng hút thuốc lá, giảm bia rượu</w:t>
      </w:r>
    </w:p>
    <w:p w14:paraId="7444D230"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Giảm cân đến mức lý tưởng (BMI &lt; 22) sẽ làm giảm được LDL-C</w:t>
      </w:r>
    </w:p>
    <w:p w14:paraId="0F40781F"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xml:space="preserve">- Thay đổi thành phần dinh dưỡng trong chế độ ăn: giảm mỡ bảo hòa, giảm cholesterol bằng cách tránh các loại thức ăn như bơ, trứng, phô mai, sữa toàn phần, kem, tạng súc vật, thịt mỡ, da gà </w:t>
      </w:r>
      <w:proofErr w:type="gramStart"/>
      <w:r w:rsidRPr="0000719A">
        <w:rPr>
          <w:rFonts w:eastAsia="Calibri" w:cs="Times New Roman"/>
          <w:sz w:val="26"/>
          <w:szCs w:val="26"/>
        </w:rPr>
        <w:t>vịt,…</w:t>
      </w:r>
      <w:proofErr w:type="gramEnd"/>
    </w:p>
    <w:p w14:paraId="374CFA54" w14:textId="0A5AE211" w:rsidR="0000719A" w:rsidRPr="0000719A" w:rsidRDefault="0000719A" w:rsidP="0000719A">
      <w:pPr>
        <w:spacing w:after="0" w:line="360" w:lineRule="auto"/>
        <w:jc w:val="both"/>
        <w:rPr>
          <w:rFonts w:eastAsia="Calibri" w:cs="Times New Roman"/>
          <w:b/>
          <w:sz w:val="26"/>
          <w:szCs w:val="26"/>
        </w:rPr>
      </w:pPr>
      <w:r>
        <w:rPr>
          <w:rFonts w:eastAsia="Calibri" w:cs="Times New Roman"/>
          <w:b/>
          <w:sz w:val="26"/>
          <w:szCs w:val="26"/>
        </w:rPr>
        <w:lastRenderedPageBreak/>
        <w:t>4</w:t>
      </w:r>
      <w:r w:rsidRPr="0000719A">
        <w:rPr>
          <w:rFonts w:eastAsia="Calibri" w:cs="Times New Roman"/>
          <w:b/>
          <w:sz w:val="26"/>
          <w:szCs w:val="26"/>
        </w:rPr>
        <w:t>.3.2 Điều trị bằng thuốc:</w:t>
      </w:r>
    </w:p>
    <w:p w14:paraId="1F2C43C8"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Dùng statin để hạ LDL-C, CT. Không dung nạp statins xem xét cho tách acid mật hay niacin</w:t>
      </w:r>
    </w:p>
    <w:p w14:paraId="00310C4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Dùng fibric acid để hạ TG &amp; làm tăng HDL-C</w:t>
      </w:r>
    </w:p>
    <w:p w14:paraId="74B0B13E"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Khi cả LDL-C và TG đều cao thì dùng statin để hạ LDL-C trước, trừ khi có TG quá cao (≥ 500 mg%) dễ gây viêm tụy cấp phải dùng fibrate trước</w:t>
      </w:r>
    </w:p>
    <w:p w14:paraId="398C933B" w14:textId="344548AA" w:rsidR="0000719A" w:rsidRPr="0000719A" w:rsidRDefault="0000719A" w:rsidP="0000719A">
      <w:pPr>
        <w:spacing w:after="0" w:line="360" w:lineRule="auto"/>
        <w:jc w:val="both"/>
        <w:rPr>
          <w:rFonts w:eastAsia="Calibri" w:cs="Times New Roman"/>
          <w:b/>
          <w:sz w:val="26"/>
          <w:szCs w:val="26"/>
        </w:rPr>
      </w:pPr>
      <w:r>
        <w:rPr>
          <w:rFonts w:eastAsia="Calibri" w:cs="Times New Roman"/>
          <w:b/>
          <w:sz w:val="26"/>
          <w:szCs w:val="26"/>
        </w:rPr>
        <w:t>4</w:t>
      </w:r>
      <w:r w:rsidRPr="0000719A">
        <w:rPr>
          <w:rFonts w:eastAsia="Calibri" w:cs="Times New Roman"/>
          <w:b/>
          <w:sz w:val="26"/>
          <w:szCs w:val="26"/>
        </w:rPr>
        <w:t>.3.3 Các nhóm thuốc điều trị RLLM:</w:t>
      </w:r>
    </w:p>
    <w:p w14:paraId="60F92276"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1. Statins:</w:t>
      </w:r>
      <w:r w:rsidRPr="0000719A">
        <w:rPr>
          <w:rFonts w:eastAsia="Calibri" w:cs="Times New Roman"/>
          <w:sz w:val="26"/>
          <w:szCs w:val="26"/>
        </w:rPr>
        <w:t xml:space="preserve"> </w:t>
      </w:r>
    </w:p>
    <w:p w14:paraId="50ABF583"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Nhóm ức chế men HMG-CoA Reductase (Hydroxymethylglutaryl – coenzyme A) gồm: Lovastatin, Pravastatin, Fluvastatin, Simvastatin, Atorvastatin, Rosuvastatin, Pitavastatin</w:t>
      </w:r>
    </w:p>
    <w:p w14:paraId="6FF68AF6"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Ức chế cạnh tranh tổng hợp cholesterol tại gan</w:t>
      </w:r>
    </w:p>
    <w:p w14:paraId="603E008B"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xml:space="preserve">Chủ yếu làm giảm 21 – 55% LDL-C, tăng nhẹ HDL-C 2 – 10%, giảm nhẹ TG 6 – 30% </w:t>
      </w:r>
    </w:p>
    <w:p w14:paraId="45A7B408"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Những vấn đề cần quan tâm khi sử dụng</w:t>
      </w:r>
      <w:r w:rsidRPr="0000719A">
        <w:rPr>
          <w:rFonts w:eastAsia="Calibri" w:cs="Times New Roman"/>
          <w:sz w:val="26"/>
          <w:szCs w:val="26"/>
        </w:rPr>
        <w:t xml:space="preserve"> nhóm thuốc này:</w:t>
      </w:r>
    </w:p>
    <w:p w14:paraId="4DB26116"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Theo dõi chức năng gan định kỳ</w:t>
      </w:r>
    </w:p>
    <w:p w14:paraId="4F435C16"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Đau cơ và yếu cơ ở một số bệnh nhân</w:t>
      </w:r>
    </w:p>
    <w:p w14:paraId="6630A2B0"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Có sự tương tác thuốc tiềm tàng giữa một vài statins (simvastatin, lovastatin, atorvastatin) với các thuốc ức chế CYP450 3A4 như cyclosporine, warfarin và các thuốc ức chế protease → tăng nguy cơ tác dụng bất lợi của statins</w:t>
      </w:r>
    </w:p>
    <w:p w14:paraId="72DE2CF3"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Bệnh cơ / hoại tử cơ ở một vài trường hợp hiếm, nguy cơ tăng khi sử dụng đồng thời với một số thuốc khác</w:t>
      </w:r>
    </w:p>
    <w:p w14:paraId="506F5F83"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Liều simvastatin 80mg không còn được khuyến cáo nữa</w:t>
      </w:r>
    </w:p>
    <w:p w14:paraId="5BAFFA88"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 xml:space="preserve">Simvastatin không được vượt quá 20mg </w:t>
      </w:r>
      <w:proofErr w:type="gramStart"/>
      <w:r w:rsidRPr="0000719A">
        <w:rPr>
          <w:rFonts w:eastAsia="Calibri" w:cs="Times New Roman"/>
          <w:sz w:val="26"/>
          <w:szCs w:val="26"/>
        </w:rPr>
        <w:t>/  ngày</w:t>
      </w:r>
      <w:proofErr w:type="gramEnd"/>
      <w:r w:rsidRPr="0000719A">
        <w:rPr>
          <w:rFonts w:eastAsia="Calibri" w:cs="Times New Roman"/>
          <w:sz w:val="26"/>
          <w:szCs w:val="26"/>
        </w:rPr>
        <w:t xml:space="preserve"> khi dùng với amlodipine hay ranolazine</w:t>
      </w:r>
    </w:p>
    <w:p w14:paraId="092B1A5D"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Nồng độ rosuvastatin / huyết tương của người châu Á có thể cao hơn các nhóm chủng tộc khác</w:t>
      </w:r>
    </w:p>
    <w:p w14:paraId="559F04ED"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lastRenderedPageBreak/>
        <w:t>Có sự tăng nhẹ tỷ lệ ĐTĐ mới phát ở những người điều trị statin tích cực, điều mà xảy ra ở mức nhỏ hơn so với việc giảm biến cố tim mạch đi kèm</w:t>
      </w:r>
    </w:p>
    <w:p w14:paraId="508CD93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2. Các dẫn xuất Fibric acid</w:t>
      </w:r>
      <w:r w:rsidRPr="0000719A">
        <w:rPr>
          <w:rFonts w:eastAsia="Calibri" w:cs="Times New Roman"/>
          <w:sz w:val="26"/>
          <w:szCs w:val="26"/>
        </w:rPr>
        <w:t xml:space="preserve"> (</w:t>
      </w:r>
      <w:r w:rsidRPr="0000719A">
        <w:rPr>
          <w:rFonts w:eastAsia="Calibri" w:cs="Times New Roman"/>
          <w:b/>
          <w:sz w:val="26"/>
          <w:szCs w:val="26"/>
        </w:rPr>
        <w:t>Gemfibrozil</w:t>
      </w:r>
      <w:r w:rsidRPr="0000719A">
        <w:rPr>
          <w:rFonts w:eastAsia="Calibri" w:cs="Times New Roman"/>
          <w:sz w:val="26"/>
          <w:szCs w:val="26"/>
        </w:rPr>
        <w:t xml:space="preserve">, </w:t>
      </w:r>
      <w:r w:rsidRPr="0000719A">
        <w:rPr>
          <w:rFonts w:eastAsia="Calibri" w:cs="Times New Roman"/>
          <w:b/>
          <w:sz w:val="26"/>
          <w:szCs w:val="26"/>
        </w:rPr>
        <w:t>Fenofibrate</w:t>
      </w:r>
      <w:r w:rsidRPr="0000719A">
        <w:rPr>
          <w:rFonts w:eastAsia="Calibri" w:cs="Times New Roman"/>
          <w:sz w:val="26"/>
          <w:szCs w:val="26"/>
        </w:rPr>
        <w:t xml:space="preserve">, </w:t>
      </w:r>
      <w:r w:rsidRPr="0000719A">
        <w:rPr>
          <w:rFonts w:eastAsia="Calibri" w:cs="Times New Roman"/>
          <w:b/>
          <w:sz w:val="26"/>
          <w:szCs w:val="26"/>
        </w:rPr>
        <w:t>Fenofibric acid</w:t>
      </w:r>
      <w:r w:rsidRPr="0000719A">
        <w:rPr>
          <w:rFonts w:eastAsia="Calibri" w:cs="Times New Roman"/>
          <w:sz w:val="26"/>
          <w:szCs w:val="26"/>
        </w:rPr>
        <w:t>)</w:t>
      </w:r>
    </w:p>
    <w:p w14:paraId="46758951"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xml:space="preserve">- Chủ yếu làm giảm TG 20 – 35%, tăng HDL-C 6 – 18% qua kích thích hoạt tính của men lipoprotein lipase. </w:t>
      </w:r>
    </w:p>
    <w:p w14:paraId="2621B1B5"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Fenofibrate có thể làm giảm CT và LDL-C từ 20 – 25%.</w:t>
      </w:r>
    </w:p>
    <w:p w14:paraId="75AB38F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Làm giảm VLDL-C và LDL-C, do làm tăng chuyển dạng thuận nghịch LDL-C thành dạng sinh xơ vữa yếu bằng cách chuyển phân tử LDL nhỏ thành phân tử LDL lớn hơn</w:t>
      </w:r>
    </w:p>
    <w:p w14:paraId="44B4DE6E"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Fenofibrate làm giảm nồng độ fibrinogen</w:t>
      </w:r>
    </w:p>
    <w:p w14:paraId="69C5EA1D"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xml:space="preserve"> Những vấn đề cần quan tâm khi sử dụng nhóm nầy:</w:t>
      </w:r>
    </w:p>
    <w:p w14:paraId="68B357AA"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Gemfibrozil có thể làm tăng LDL-C 10 – 15%</w:t>
      </w:r>
    </w:p>
    <w:p w14:paraId="4336FBA2"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Gây các triệu chứng ở đường tiêu hóa, có thể gây sỏi mật</w:t>
      </w:r>
    </w:p>
    <w:p w14:paraId="2F605EC1"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Có thể làm tăng hiệu quả của thuốc chống đông bằng đường uống</w:t>
      </w:r>
    </w:p>
    <w:p w14:paraId="1F1FD0FB"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Gemfibrozil có thể làm tăng nồng độ của fibrinogen</w:t>
      </w:r>
    </w:p>
    <w:p w14:paraId="22A0EFDF"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Gemfibrozil và Fenofibrate có thể làm tăng homocysteine độc lập với nồng độ vitamin</w:t>
      </w:r>
    </w:p>
    <w:p w14:paraId="131F0AD1"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Bệnh cơ / hoại tử cơ khi sử dụng với statin (hiếm), sự tương tác với statin có lẽ yếu khi sử dụng Fenofibrate hay Fenofibric acid</w:t>
      </w:r>
    </w:p>
    <w:p w14:paraId="28EEAE5F"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Fibrates có thể làm tăng creatinine huyết thanh mà không do bởi rối loạn chức năng thận</w:t>
      </w:r>
    </w:p>
    <w:p w14:paraId="67A4400F"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 xml:space="preserve">3. Niacin (Nicotinic acid): </w:t>
      </w:r>
      <w:proofErr w:type="gramStart"/>
      <w:r w:rsidRPr="0000719A">
        <w:rPr>
          <w:rFonts w:eastAsia="Calibri" w:cs="Times New Roman"/>
          <w:sz w:val="26"/>
          <w:szCs w:val="26"/>
        </w:rPr>
        <w:t>( hiện</w:t>
      </w:r>
      <w:proofErr w:type="gramEnd"/>
      <w:r w:rsidRPr="0000719A">
        <w:rPr>
          <w:rFonts w:eastAsia="Calibri" w:cs="Times New Roman"/>
          <w:sz w:val="26"/>
          <w:szCs w:val="26"/>
        </w:rPr>
        <w:t xml:space="preserve"> chưa có tại BVQ8)</w:t>
      </w:r>
    </w:p>
    <w:p w14:paraId="233A7F9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Làm giảm LDL-C 10 – 25%, giảm TG 20 – 30%, tăng HDL-C 10 – 35% qua việc giảm tổng hợp tại gan của LDL-C, VLDL-C, giảm lipoprotein (a)</w:t>
      </w:r>
    </w:p>
    <w:p w14:paraId="163D1B79"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Chuyển LDL-C thành dạng sinh xơ vữa yếu bằng cách làm tăng kích thước phân tử LDL và vì thế làm giảm số lượng phân tử</w:t>
      </w:r>
    </w:p>
    <w:p w14:paraId="4153A81B"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Những vấn đề cần lưu ý khi sử dụng:</w:t>
      </w:r>
    </w:p>
    <w:p w14:paraId="4164E1A9"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lastRenderedPageBreak/>
        <w:t>Tăng khả năng chứng đỏ bừng da, ngứa, khó chịu ở bụng, độc tính gan (hiếm nhưng có thể trầm trọng), buồn nôn, loét dạ dày</w:t>
      </w:r>
    </w:p>
    <w:p w14:paraId="5631DFAB"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Liều cao có thể tác động có hại trên đường huyết</w:t>
      </w:r>
    </w:p>
    <w:p w14:paraId="525E83B4"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 xml:space="preserve">Làm tăng nồng độ acid uric máu có thể dẫn đến gout </w:t>
      </w:r>
    </w:p>
    <w:p w14:paraId="0EEF6F6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4. Tách acid mật</w:t>
      </w:r>
      <w:r w:rsidRPr="0000719A">
        <w:rPr>
          <w:rFonts w:eastAsia="Calibri" w:cs="Times New Roman"/>
          <w:sz w:val="26"/>
          <w:szCs w:val="26"/>
        </w:rPr>
        <w:t xml:space="preserve"> (</w:t>
      </w:r>
      <w:r w:rsidRPr="0000719A">
        <w:rPr>
          <w:rFonts w:eastAsia="Calibri" w:cs="Times New Roman"/>
          <w:b/>
          <w:sz w:val="26"/>
          <w:szCs w:val="26"/>
        </w:rPr>
        <w:t>Cholestyramine</w:t>
      </w:r>
      <w:r w:rsidRPr="0000719A">
        <w:rPr>
          <w:rFonts w:eastAsia="Calibri" w:cs="Times New Roman"/>
          <w:sz w:val="26"/>
          <w:szCs w:val="26"/>
        </w:rPr>
        <w:t xml:space="preserve">, </w:t>
      </w:r>
      <w:r w:rsidRPr="0000719A">
        <w:rPr>
          <w:rFonts w:eastAsia="Calibri" w:cs="Times New Roman"/>
          <w:b/>
          <w:sz w:val="26"/>
          <w:szCs w:val="26"/>
        </w:rPr>
        <w:t>colestipol</w:t>
      </w:r>
      <w:r w:rsidRPr="0000719A">
        <w:rPr>
          <w:rFonts w:eastAsia="Calibri" w:cs="Times New Roman"/>
          <w:sz w:val="26"/>
          <w:szCs w:val="26"/>
        </w:rPr>
        <w:t xml:space="preserve">, </w:t>
      </w:r>
      <w:r w:rsidRPr="0000719A">
        <w:rPr>
          <w:rFonts w:eastAsia="Calibri" w:cs="Times New Roman"/>
          <w:b/>
          <w:sz w:val="26"/>
          <w:szCs w:val="26"/>
        </w:rPr>
        <w:t>colesevelam hydrochloride</w:t>
      </w:r>
      <w:r w:rsidRPr="0000719A">
        <w:rPr>
          <w:rFonts w:eastAsia="Calibri" w:cs="Times New Roman"/>
          <w:sz w:val="26"/>
          <w:szCs w:val="26"/>
        </w:rPr>
        <w:t>)</w:t>
      </w:r>
    </w:p>
    <w:p w14:paraId="1291822F"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Chủ yếu làm giảm LDL-C 15 – 25% bằng cách gắn kết với acid mật ở ruột non</w:t>
      </w:r>
    </w:p>
    <w:p w14:paraId="733C0EA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Colesevelam làm giảm ĐH và HbA1</w:t>
      </w:r>
      <w:r w:rsidRPr="0000719A">
        <w:rPr>
          <w:rFonts w:eastAsia="Calibri" w:cs="Times New Roman"/>
          <w:sz w:val="26"/>
          <w:szCs w:val="26"/>
          <w:vertAlign w:val="subscript"/>
        </w:rPr>
        <w:t>C</w:t>
      </w:r>
      <w:r w:rsidRPr="0000719A">
        <w:rPr>
          <w:rFonts w:eastAsia="Calibri" w:cs="Times New Roman"/>
          <w:sz w:val="26"/>
          <w:szCs w:val="26"/>
        </w:rPr>
        <w:t xml:space="preserve"> (≈ 0,5%)</w:t>
      </w:r>
    </w:p>
    <w:p w14:paraId="620B04BE"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Những điều cần lưu ý khi dùng:</w:t>
      </w:r>
    </w:p>
    <w:p w14:paraId="5BC1D266"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Có thể làm tăng TG</w:t>
      </w:r>
    </w:p>
    <w:p w14:paraId="35B18A0B"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 xml:space="preserve"> Thường gặp các tác dụng phụ ở đường tiêu hóa khiến BN bỏ điều trị</w:t>
      </w:r>
    </w:p>
    <w:p w14:paraId="77098C8D"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Nhiều tương tác thuốc tiềm tàng, ít hơn với colesevelam</w:t>
      </w:r>
    </w:p>
    <w:p w14:paraId="44620525"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Có thể làm giảm hấp thu acid folic và các vitamin tan trong mỡ như vitamin A, D và K</w:t>
      </w:r>
    </w:p>
    <w:p w14:paraId="7F6C2318"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5. Thuốc ức chế hấp thu cholesterol: (Ezetimibe)</w:t>
      </w:r>
    </w:p>
    <w:p w14:paraId="728B5AEF"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Chủ yếu làm giảm LDL-C 10 – 18% bằng cách ức chế hấp thu cholesterol ở ruột non và làm   giảm sự phân phối đến gan, giảm Apo B 11 – 16%</w:t>
      </w:r>
    </w:p>
    <w:p w14:paraId="672C6F8B"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Khi kết hợp với statin, làm giảm thêm LDL-C 25%, làm giảm LDL-C toàn bộ 34 – 61%</w:t>
      </w:r>
    </w:p>
    <w:p w14:paraId="2EC016EA"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Khi kết hợp với fenofibrate, làm giảm LDL-C 20 – 22%, và làm giảm apo B 25 – 26% mà không làm giảm tăng HDL-C</w:t>
      </w:r>
    </w:p>
    <w:p w14:paraId="1A3BECAC"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Những điều cần lưu ý khi sử dụng:</w:t>
      </w:r>
    </w:p>
    <w:p w14:paraId="07F337E9"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Bệnh cơ / hủy cơ (hiếm)</w:t>
      </w:r>
    </w:p>
    <w:p w14:paraId="18B4ACAE"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Khi sử dụng đồng thời với statin hay fenofibrate, nguy cơ liên quan với những thuốc này vẫn còn (như bệnh cơ, hủy cơ, sỏi mật)</w:t>
      </w:r>
    </w:p>
    <w:p w14:paraId="66514A2D" w14:textId="77777777" w:rsidR="0000719A" w:rsidRPr="0000719A" w:rsidRDefault="0000719A" w:rsidP="0000719A">
      <w:pPr>
        <w:spacing w:after="0" w:line="360" w:lineRule="auto"/>
        <w:jc w:val="both"/>
        <w:rPr>
          <w:rFonts w:eastAsia="Calibri" w:cs="Times New Roman"/>
          <w:b/>
          <w:sz w:val="26"/>
          <w:szCs w:val="26"/>
        </w:rPr>
      </w:pPr>
      <w:r w:rsidRPr="0000719A">
        <w:rPr>
          <w:rFonts w:eastAsia="Calibri" w:cs="Times New Roman"/>
          <w:b/>
          <w:sz w:val="26"/>
          <w:szCs w:val="26"/>
        </w:rPr>
        <w:t>6. Các acid béo Omega 3:</w:t>
      </w:r>
    </w:p>
    <w:p w14:paraId="57979EAD"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lastRenderedPageBreak/>
        <w:t>Có trong các viên dầu cá, chứa linolenic acid, Eicosapentaenoic acid (EPA) và Docosahexaenoic acid (DHA). Ở liều cao DHA &amp; EPA làm giảm TG do giảm phóng thích lipoproteine giàu TG tại gan, nên được dùng thay thế fibrate hay niacin trong đều trị tăng TG</w:t>
      </w:r>
    </w:p>
    <w:p w14:paraId="6EAF3620"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Liều thông thường 3 – 12 g/ngày tùy khả năng dung nạp và mức độ tăng TG</w:t>
      </w:r>
    </w:p>
    <w:p w14:paraId="52BC5D50"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xml:space="preserve">Cần xác định nồng độ của EPA và DHA trong mỗi viên dầu cá: Lovaza 1g chứa 465 mg EPA và 375 mg DHA. </w:t>
      </w:r>
    </w:p>
    <w:p w14:paraId="1F54B14A"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Liều cao dầu cá làm tăng LDL-C và làm thay đổi nồng độ HDL-C</w:t>
      </w:r>
    </w:p>
    <w:p w14:paraId="0F22149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Icosapent 1g chứa 96% EPA mà không chứa DHA, làm giảm TG mà không làm tăng LDL-C, liều thông thường 4g/ngày</w:t>
      </w:r>
    </w:p>
    <w:p w14:paraId="297C9AE1" w14:textId="77777777" w:rsidR="0000719A" w:rsidRPr="0000719A" w:rsidRDefault="0000719A" w:rsidP="0000719A">
      <w:pPr>
        <w:spacing w:after="0" w:line="360" w:lineRule="auto"/>
        <w:jc w:val="both"/>
        <w:rPr>
          <w:rFonts w:eastAsia="Calibri" w:cs="Times New Roman"/>
          <w:b/>
          <w:sz w:val="26"/>
          <w:szCs w:val="26"/>
        </w:rPr>
      </w:pPr>
    </w:p>
    <w:p w14:paraId="2C4E8228" w14:textId="77777777" w:rsidR="0000719A" w:rsidRPr="0000719A" w:rsidRDefault="0000719A" w:rsidP="0000719A">
      <w:pPr>
        <w:spacing w:after="0" w:line="360" w:lineRule="auto"/>
        <w:jc w:val="center"/>
        <w:rPr>
          <w:rFonts w:eastAsia="Calibri" w:cs="Times New Roman"/>
          <w:b/>
          <w:sz w:val="26"/>
          <w:szCs w:val="26"/>
        </w:rPr>
      </w:pPr>
      <w:r w:rsidRPr="0000719A">
        <w:rPr>
          <w:rFonts w:eastAsia="Calibri" w:cs="Times New Roman"/>
          <w:b/>
          <w:sz w:val="26"/>
          <w:szCs w:val="26"/>
        </w:rPr>
        <w:t>LIỀU LƯỢNG CÁC THUỐC HẠ LIPID MÁU</w:t>
      </w:r>
    </w:p>
    <w:p w14:paraId="5AE3F8E5" w14:textId="77777777" w:rsidR="0000719A" w:rsidRPr="0000719A" w:rsidRDefault="0000719A" w:rsidP="0000719A">
      <w:pPr>
        <w:spacing w:after="0" w:line="360" w:lineRule="auto"/>
        <w:jc w:val="center"/>
        <w:rPr>
          <w:rFonts w:eastAsia="Calibri"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2250"/>
        <w:gridCol w:w="2988"/>
      </w:tblGrid>
      <w:tr w:rsidR="0000719A" w:rsidRPr="0000719A" w14:paraId="2DB05DAC" w14:textId="77777777" w:rsidTr="00BB7C59">
        <w:tc>
          <w:tcPr>
            <w:tcW w:w="4338" w:type="dxa"/>
          </w:tcPr>
          <w:p w14:paraId="76D04427" w14:textId="77777777" w:rsidR="0000719A" w:rsidRPr="0000719A" w:rsidRDefault="0000719A" w:rsidP="0000719A">
            <w:pPr>
              <w:tabs>
                <w:tab w:val="center" w:pos="2061"/>
                <w:tab w:val="left" w:pos="3300"/>
              </w:tabs>
              <w:spacing w:after="0" w:line="360" w:lineRule="auto"/>
              <w:rPr>
                <w:rFonts w:eastAsia="Calibri" w:cs="Times New Roman"/>
                <w:sz w:val="26"/>
                <w:szCs w:val="26"/>
              </w:rPr>
            </w:pPr>
            <w:r w:rsidRPr="0000719A">
              <w:rPr>
                <w:rFonts w:eastAsia="Calibri" w:cs="Times New Roman"/>
                <w:sz w:val="26"/>
                <w:szCs w:val="26"/>
              </w:rPr>
              <w:tab/>
              <w:t>Thuốc</w:t>
            </w:r>
            <w:r w:rsidRPr="0000719A">
              <w:rPr>
                <w:rFonts w:eastAsia="Calibri" w:cs="Times New Roman"/>
                <w:sz w:val="26"/>
                <w:szCs w:val="26"/>
              </w:rPr>
              <w:tab/>
            </w:r>
          </w:p>
        </w:tc>
        <w:tc>
          <w:tcPr>
            <w:tcW w:w="2250" w:type="dxa"/>
          </w:tcPr>
          <w:p w14:paraId="2ED379A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Liều khởi đầu / ngày</w:t>
            </w:r>
          </w:p>
        </w:tc>
        <w:tc>
          <w:tcPr>
            <w:tcW w:w="2988" w:type="dxa"/>
          </w:tcPr>
          <w:p w14:paraId="01EE4A9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Liều thông thường</w:t>
            </w:r>
          </w:p>
        </w:tc>
      </w:tr>
      <w:tr w:rsidR="0000719A" w:rsidRPr="0000719A" w14:paraId="1EF05A79" w14:textId="77777777" w:rsidTr="00BB7C59">
        <w:trPr>
          <w:trHeight w:val="2312"/>
        </w:trPr>
        <w:tc>
          <w:tcPr>
            <w:tcW w:w="4338" w:type="dxa"/>
          </w:tcPr>
          <w:p w14:paraId="620648A8" w14:textId="77777777" w:rsidR="0000719A" w:rsidRPr="0000719A" w:rsidRDefault="0000719A" w:rsidP="0000719A">
            <w:pPr>
              <w:spacing w:after="0" w:line="360" w:lineRule="auto"/>
              <w:rPr>
                <w:rFonts w:eastAsia="Calibri" w:cs="Times New Roman"/>
                <w:b/>
                <w:sz w:val="26"/>
                <w:szCs w:val="26"/>
              </w:rPr>
            </w:pPr>
            <w:r w:rsidRPr="0000719A">
              <w:rPr>
                <w:rFonts w:eastAsia="Calibri" w:cs="Times New Roman"/>
                <w:b/>
                <w:sz w:val="26"/>
                <w:szCs w:val="26"/>
              </w:rPr>
              <w:t>STATINS:</w:t>
            </w:r>
          </w:p>
          <w:p w14:paraId="261E3637"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Lovastatin</w:t>
            </w:r>
          </w:p>
          <w:p w14:paraId="7012A602"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Pravastatin</w:t>
            </w:r>
          </w:p>
          <w:p w14:paraId="16778640"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Simvastatin</w:t>
            </w:r>
          </w:p>
          <w:p w14:paraId="026611E8"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Fluvastatin</w:t>
            </w:r>
          </w:p>
          <w:p w14:paraId="20C99DCA"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Atorvastatin</w:t>
            </w:r>
          </w:p>
          <w:p w14:paraId="71B7242D"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Rosuvastatin</w:t>
            </w:r>
          </w:p>
          <w:p w14:paraId="19F3C25E"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Pitavastatin</w:t>
            </w:r>
          </w:p>
        </w:tc>
        <w:tc>
          <w:tcPr>
            <w:tcW w:w="2250" w:type="dxa"/>
          </w:tcPr>
          <w:p w14:paraId="377458E8" w14:textId="77777777" w:rsidR="0000719A" w:rsidRPr="0000719A" w:rsidRDefault="0000719A" w:rsidP="0000719A">
            <w:pPr>
              <w:spacing w:after="0" w:line="360" w:lineRule="auto"/>
              <w:jc w:val="center"/>
              <w:rPr>
                <w:rFonts w:eastAsia="Calibri" w:cs="Times New Roman"/>
                <w:sz w:val="26"/>
                <w:szCs w:val="26"/>
              </w:rPr>
            </w:pPr>
          </w:p>
          <w:p w14:paraId="05837E1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20 mg</w:t>
            </w:r>
          </w:p>
          <w:p w14:paraId="20883E73"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40 mg</w:t>
            </w:r>
          </w:p>
          <w:p w14:paraId="25D0875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20 – 40 mg</w:t>
            </w:r>
          </w:p>
          <w:p w14:paraId="4BE3D11E"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40 mg</w:t>
            </w:r>
          </w:p>
          <w:p w14:paraId="7DDA498E"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 20 mg</w:t>
            </w:r>
          </w:p>
          <w:p w14:paraId="3A44CEBD"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mg</w:t>
            </w:r>
          </w:p>
          <w:p w14:paraId="7CBBEFC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 mg</w:t>
            </w:r>
          </w:p>
          <w:p w14:paraId="50EA1A81" w14:textId="77777777" w:rsidR="0000719A" w:rsidRPr="0000719A" w:rsidRDefault="0000719A" w:rsidP="0000719A">
            <w:pPr>
              <w:spacing w:after="0" w:line="360" w:lineRule="auto"/>
              <w:jc w:val="center"/>
              <w:rPr>
                <w:rFonts w:eastAsia="Calibri" w:cs="Times New Roman"/>
                <w:sz w:val="26"/>
                <w:szCs w:val="26"/>
              </w:rPr>
            </w:pPr>
          </w:p>
        </w:tc>
        <w:tc>
          <w:tcPr>
            <w:tcW w:w="2988" w:type="dxa"/>
          </w:tcPr>
          <w:p w14:paraId="40079AB5" w14:textId="77777777" w:rsidR="0000719A" w:rsidRPr="0000719A" w:rsidRDefault="0000719A" w:rsidP="0000719A">
            <w:pPr>
              <w:spacing w:after="0" w:line="360" w:lineRule="auto"/>
              <w:jc w:val="center"/>
              <w:rPr>
                <w:rFonts w:eastAsia="Calibri" w:cs="Times New Roman"/>
                <w:sz w:val="26"/>
                <w:szCs w:val="26"/>
              </w:rPr>
            </w:pPr>
          </w:p>
          <w:p w14:paraId="7EC6F56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 80mg</w:t>
            </w:r>
          </w:p>
          <w:p w14:paraId="31C186F3"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 80mg</w:t>
            </w:r>
          </w:p>
          <w:p w14:paraId="6862EEF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 – 80mg</w:t>
            </w:r>
            <w:r w:rsidRPr="0000719A">
              <w:rPr>
                <w:rFonts w:eastAsia="Calibri" w:cs="Times New Roman"/>
                <w:sz w:val="26"/>
                <w:szCs w:val="26"/>
                <w:vertAlign w:val="superscript"/>
              </w:rPr>
              <w:t>a</w:t>
            </w:r>
          </w:p>
          <w:p w14:paraId="3676800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20 – 80mg</w:t>
            </w:r>
          </w:p>
          <w:p w14:paraId="7B196D04"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 80mg</w:t>
            </w:r>
          </w:p>
          <w:p w14:paraId="19783DAC"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 – 40mg</w:t>
            </w:r>
          </w:p>
          <w:p w14:paraId="34E2B5D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 – 4mg</w:t>
            </w:r>
          </w:p>
          <w:p w14:paraId="7866E872" w14:textId="77777777" w:rsidR="0000719A" w:rsidRPr="0000719A" w:rsidRDefault="0000719A" w:rsidP="0000719A">
            <w:pPr>
              <w:spacing w:after="0" w:line="360" w:lineRule="auto"/>
              <w:jc w:val="center"/>
              <w:rPr>
                <w:rFonts w:eastAsia="Calibri" w:cs="Times New Roman"/>
                <w:sz w:val="26"/>
                <w:szCs w:val="26"/>
              </w:rPr>
            </w:pPr>
          </w:p>
        </w:tc>
      </w:tr>
      <w:tr w:rsidR="0000719A" w:rsidRPr="0000719A" w14:paraId="1764E594" w14:textId="77777777" w:rsidTr="00BB7C59">
        <w:tc>
          <w:tcPr>
            <w:tcW w:w="4338" w:type="dxa"/>
          </w:tcPr>
          <w:p w14:paraId="05CB8D95" w14:textId="77777777" w:rsidR="0000719A" w:rsidRPr="0000719A" w:rsidRDefault="0000719A" w:rsidP="0000719A">
            <w:pPr>
              <w:spacing w:after="0" w:line="360" w:lineRule="auto"/>
              <w:rPr>
                <w:rFonts w:eastAsia="Calibri" w:cs="Times New Roman"/>
                <w:b/>
                <w:sz w:val="26"/>
                <w:szCs w:val="26"/>
              </w:rPr>
            </w:pPr>
            <w:r w:rsidRPr="0000719A">
              <w:rPr>
                <w:rFonts w:eastAsia="Calibri" w:cs="Times New Roman"/>
                <w:b/>
                <w:sz w:val="26"/>
                <w:szCs w:val="26"/>
              </w:rPr>
              <w:t>FIBRATES:</w:t>
            </w:r>
          </w:p>
          <w:p w14:paraId="6D033464"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Fenofibrate</w:t>
            </w:r>
          </w:p>
          <w:p w14:paraId="2EFDC110"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Gemfibrozil</w:t>
            </w:r>
          </w:p>
          <w:p w14:paraId="57E44978"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Fenofibric acid</w:t>
            </w:r>
          </w:p>
        </w:tc>
        <w:tc>
          <w:tcPr>
            <w:tcW w:w="2250" w:type="dxa"/>
          </w:tcPr>
          <w:p w14:paraId="6BE36572" w14:textId="77777777" w:rsidR="0000719A" w:rsidRPr="0000719A" w:rsidRDefault="0000719A" w:rsidP="0000719A">
            <w:pPr>
              <w:spacing w:after="0" w:line="360" w:lineRule="auto"/>
              <w:jc w:val="center"/>
              <w:rPr>
                <w:rFonts w:eastAsia="Calibri" w:cs="Times New Roman"/>
                <w:sz w:val="26"/>
                <w:szCs w:val="26"/>
              </w:rPr>
            </w:pPr>
          </w:p>
          <w:p w14:paraId="0DB7B2FD"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48 – 145mg</w:t>
            </w:r>
          </w:p>
          <w:p w14:paraId="5B5A4F07"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1200 mg</w:t>
            </w:r>
          </w:p>
          <w:p w14:paraId="3296A57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45 – 135mg</w:t>
            </w:r>
          </w:p>
        </w:tc>
        <w:tc>
          <w:tcPr>
            <w:tcW w:w="2988" w:type="dxa"/>
          </w:tcPr>
          <w:p w14:paraId="5855E173" w14:textId="77777777" w:rsidR="0000719A" w:rsidRPr="0000719A" w:rsidRDefault="0000719A" w:rsidP="0000719A">
            <w:pPr>
              <w:spacing w:after="0" w:line="360" w:lineRule="auto"/>
              <w:jc w:val="center"/>
              <w:rPr>
                <w:rFonts w:eastAsia="Calibri" w:cs="Times New Roman"/>
                <w:sz w:val="26"/>
                <w:szCs w:val="26"/>
              </w:rPr>
            </w:pPr>
          </w:p>
          <w:p w14:paraId="71B6ED37"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48 – 145mg</w:t>
            </w:r>
          </w:p>
          <w:p w14:paraId="11B73B2A"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1200 mg</w:t>
            </w:r>
          </w:p>
          <w:p w14:paraId="3D65683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45 – 135mg</w:t>
            </w:r>
          </w:p>
          <w:p w14:paraId="765AE089" w14:textId="77777777" w:rsidR="0000719A" w:rsidRPr="0000719A" w:rsidRDefault="0000719A" w:rsidP="0000719A">
            <w:pPr>
              <w:spacing w:after="0" w:line="360" w:lineRule="auto"/>
              <w:jc w:val="center"/>
              <w:rPr>
                <w:rFonts w:eastAsia="Calibri" w:cs="Times New Roman"/>
                <w:sz w:val="26"/>
                <w:szCs w:val="26"/>
              </w:rPr>
            </w:pPr>
          </w:p>
        </w:tc>
      </w:tr>
      <w:tr w:rsidR="0000719A" w:rsidRPr="0000719A" w14:paraId="3C1917A7" w14:textId="77777777" w:rsidTr="00BB7C59">
        <w:tc>
          <w:tcPr>
            <w:tcW w:w="4338" w:type="dxa"/>
          </w:tcPr>
          <w:p w14:paraId="14C81158" w14:textId="77777777" w:rsidR="0000719A" w:rsidRPr="0000719A" w:rsidRDefault="0000719A" w:rsidP="0000719A">
            <w:pPr>
              <w:spacing w:after="0" w:line="360" w:lineRule="auto"/>
              <w:rPr>
                <w:rFonts w:eastAsia="Calibri" w:cs="Times New Roman"/>
                <w:b/>
                <w:sz w:val="26"/>
                <w:szCs w:val="26"/>
              </w:rPr>
            </w:pPr>
            <w:r w:rsidRPr="0000719A">
              <w:rPr>
                <w:rFonts w:eastAsia="Calibri" w:cs="Times New Roman"/>
                <w:b/>
                <w:sz w:val="26"/>
                <w:szCs w:val="26"/>
              </w:rPr>
              <w:lastRenderedPageBreak/>
              <w:t>NIACIN:</w:t>
            </w:r>
          </w:p>
          <w:p w14:paraId="5A4E27BF"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Phóng thích nhanh</w:t>
            </w:r>
          </w:p>
          <w:p w14:paraId="0357AEDF"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Phóng thích kéo dài</w:t>
            </w:r>
          </w:p>
        </w:tc>
        <w:tc>
          <w:tcPr>
            <w:tcW w:w="2250" w:type="dxa"/>
          </w:tcPr>
          <w:p w14:paraId="55DC4460" w14:textId="77777777" w:rsidR="0000719A" w:rsidRPr="0000719A" w:rsidRDefault="0000719A" w:rsidP="0000719A">
            <w:pPr>
              <w:spacing w:after="0" w:line="360" w:lineRule="auto"/>
              <w:jc w:val="center"/>
              <w:rPr>
                <w:rFonts w:eastAsia="Calibri" w:cs="Times New Roman"/>
                <w:sz w:val="26"/>
                <w:szCs w:val="26"/>
              </w:rPr>
            </w:pPr>
          </w:p>
          <w:p w14:paraId="7E380CE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250 mg</w:t>
            </w:r>
          </w:p>
          <w:p w14:paraId="47533D87"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500 mg</w:t>
            </w:r>
          </w:p>
        </w:tc>
        <w:tc>
          <w:tcPr>
            <w:tcW w:w="2988" w:type="dxa"/>
          </w:tcPr>
          <w:p w14:paraId="5F6C2E98" w14:textId="77777777" w:rsidR="0000719A" w:rsidRPr="0000719A" w:rsidRDefault="0000719A" w:rsidP="0000719A">
            <w:pPr>
              <w:spacing w:after="0" w:line="360" w:lineRule="auto"/>
              <w:jc w:val="center"/>
              <w:rPr>
                <w:rFonts w:eastAsia="Calibri" w:cs="Times New Roman"/>
                <w:sz w:val="26"/>
                <w:szCs w:val="26"/>
              </w:rPr>
            </w:pPr>
          </w:p>
          <w:p w14:paraId="54447328"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250 – 3000 mg</w:t>
            </w:r>
          </w:p>
          <w:p w14:paraId="61029B9F"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500 – 2000 mg</w:t>
            </w:r>
          </w:p>
        </w:tc>
      </w:tr>
      <w:tr w:rsidR="0000719A" w:rsidRPr="0000719A" w14:paraId="17FC64E8" w14:textId="77777777" w:rsidTr="00BB7C59">
        <w:tc>
          <w:tcPr>
            <w:tcW w:w="4338" w:type="dxa"/>
          </w:tcPr>
          <w:p w14:paraId="29AD22EF" w14:textId="77777777" w:rsidR="0000719A" w:rsidRPr="0000719A" w:rsidRDefault="0000719A" w:rsidP="0000719A">
            <w:pPr>
              <w:spacing w:after="0" w:line="360" w:lineRule="auto"/>
              <w:rPr>
                <w:rFonts w:eastAsia="Calibri" w:cs="Times New Roman"/>
                <w:b/>
                <w:sz w:val="26"/>
                <w:szCs w:val="26"/>
              </w:rPr>
            </w:pPr>
            <w:r w:rsidRPr="0000719A">
              <w:rPr>
                <w:rFonts w:eastAsia="Calibri" w:cs="Times New Roman"/>
                <w:b/>
                <w:sz w:val="26"/>
                <w:szCs w:val="26"/>
              </w:rPr>
              <w:t>TÁCH ACID MẬT:</w:t>
            </w:r>
          </w:p>
          <w:p w14:paraId="7221E651"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Cholestyramine</w:t>
            </w:r>
          </w:p>
          <w:p w14:paraId="198D93CF"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Colestipol</w:t>
            </w:r>
          </w:p>
          <w:p w14:paraId="676C32B4"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 xml:space="preserve">                    Colesevelam</w:t>
            </w:r>
          </w:p>
        </w:tc>
        <w:tc>
          <w:tcPr>
            <w:tcW w:w="2250" w:type="dxa"/>
          </w:tcPr>
          <w:p w14:paraId="3CE220AC" w14:textId="77777777" w:rsidR="0000719A" w:rsidRPr="0000719A" w:rsidRDefault="0000719A" w:rsidP="0000719A">
            <w:pPr>
              <w:spacing w:after="0" w:line="360" w:lineRule="auto"/>
              <w:jc w:val="center"/>
              <w:rPr>
                <w:rFonts w:eastAsia="Calibri" w:cs="Times New Roman"/>
                <w:sz w:val="26"/>
                <w:szCs w:val="26"/>
              </w:rPr>
            </w:pPr>
          </w:p>
          <w:p w14:paraId="4A0C34EF"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8 – 16 g</w:t>
            </w:r>
          </w:p>
          <w:p w14:paraId="5157957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 g</w:t>
            </w:r>
          </w:p>
          <w:p w14:paraId="280E75AA"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3,8 g</w:t>
            </w:r>
          </w:p>
        </w:tc>
        <w:tc>
          <w:tcPr>
            <w:tcW w:w="2988" w:type="dxa"/>
          </w:tcPr>
          <w:p w14:paraId="4DC4B666" w14:textId="77777777" w:rsidR="0000719A" w:rsidRPr="0000719A" w:rsidRDefault="0000719A" w:rsidP="0000719A">
            <w:pPr>
              <w:spacing w:after="0" w:line="360" w:lineRule="auto"/>
              <w:jc w:val="center"/>
              <w:rPr>
                <w:rFonts w:eastAsia="Calibri" w:cs="Times New Roman"/>
                <w:sz w:val="26"/>
                <w:szCs w:val="26"/>
              </w:rPr>
            </w:pPr>
          </w:p>
          <w:p w14:paraId="0E965760"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4 – 24 g</w:t>
            </w:r>
          </w:p>
          <w:p w14:paraId="38A2BC1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2 – 16 g</w:t>
            </w:r>
          </w:p>
          <w:p w14:paraId="5615A8DF"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3,8 – 4,5 g</w:t>
            </w:r>
          </w:p>
        </w:tc>
      </w:tr>
      <w:tr w:rsidR="0000719A" w:rsidRPr="0000719A" w14:paraId="0028D020" w14:textId="77777777" w:rsidTr="00BB7C59">
        <w:tc>
          <w:tcPr>
            <w:tcW w:w="4338" w:type="dxa"/>
          </w:tcPr>
          <w:p w14:paraId="48B7CF5A" w14:textId="77777777" w:rsidR="0000719A" w:rsidRPr="0000719A" w:rsidRDefault="0000719A" w:rsidP="0000719A">
            <w:pPr>
              <w:spacing w:after="0" w:line="360" w:lineRule="auto"/>
              <w:rPr>
                <w:rFonts w:eastAsia="Calibri" w:cs="Times New Roman"/>
                <w:b/>
                <w:sz w:val="26"/>
                <w:szCs w:val="26"/>
              </w:rPr>
            </w:pPr>
            <w:r w:rsidRPr="0000719A">
              <w:rPr>
                <w:rFonts w:eastAsia="Calibri" w:cs="Times New Roman"/>
                <w:b/>
                <w:sz w:val="26"/>
                <w:szCs w:val="26"/>
              </w:rPr>
              <w:t xml:space="preserve">EZETIMIBE: </w:t>
            </w:r>
            <w:r w:rsidRPr="0000719A">
              <w:rPr>
                <w:rFonts w:eastAsia="Calibri" w:cs="Times New Roman"/>
                <w:sz w:val="26"/>
                <w:szCs w:val="26"/>
              </w:rPr>
              <w:t>Ức chế hấp thu cholesterol</w:t>
            </w:r>
          </w:p>
        </w:tc>
        <w:tc>
          <w:tcPr>
            <w:tcW w:w="2250" w:type="dxa"/>
          </w:tcPr>
          <w:p w14:paraId="4E9A9CF1"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mg</w:t>
            </w:r>
          </w:p>
        </w:tc>
        <w:tc>
          <w:tcPr>
            <w:tcW w:w="2988" w:type="dxa"/>
          </w:tcPr>
          <w:p w14:paraId="1C839CF3"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 mg</w:t>
            </w:r>
          </w:p>
        </w:tc>
      </w:tr>
      <w:tr w:rsidR="0000719A" w:rsidRPr="0000719A" w14:paraId="143C8566" w14:textId="77777777" w:rsidTr="00BB7C59">
        <w:tc>
          <w:tcPr>
            <w:tcW w:w="4338" w:type="dxa"/>
          </w:tcPr>
          <w:p w14:paraId="38C517CB" w14:textId="77777777" w:rsidR="0000719A" w:rsidRPr="0000719A" w:rsidRDefault="0000719A" w:rsidP="0000719A">
            <w:pPr>
              <w:spacing w:after="0" w:line="360" w:lineRule="auto"/>
              <w:rPr>
                <w:rFonts w:eastAsia="Calibri" w:cs="Times New Roman"/>
                <w:b/>
                <w:sz w:val="26"/>
                <w:szCs w:val="26"/>
              </w:rPr>
            </w:pPr>
            <w:r w:rsidRPr="0000719A">
              <w:rPr>
                <w:rFonts w:eastAsia="Calibri" w:cs="Times New Roman"/>
                <w:b/>
                <w:sz w:val="26"/>
                <w:szCs w:val="26"/>
              </w:rPr>
              <w:t>VIÊN PHỐI HỢP:</w:t>
            </w:r>
          </w:p>
          <w:p w14:paraId="7C2E9B1D"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Ezetimibe / Simvastatin</w:t>
            </w:r>
          </w:p>
          <w:p w14:paraId="2301A3FE" w14:textId="77777777" w:rsidR="0000719A" w:rsidRPr="0000719A" w:rsidRDefault="0000719A" w:rsidP="0000719A">
            <w:pPr>
              <w:spacing w:after="0" w:line="360" w:lineRule="auto"/>
              <w:rPr>
                <w:rFonts w:eastAsia="Calibri" w:cs="Times New Roman"/>
                <w:sz w:val="26"/>
                <w:szCs w:val="26"/>
              </w:rPr>
            </w:pPr>
            <w:r w:rsidRPr="0000719A">
              <w:rPr>
                <w:rFonts w:eastAsia="Calibri" w:cs="Times New Roman"/>
                <w:sz w:val="26"/>
                <w:szCs w:val="26"/>
              </w:rPr>
              <w:t>Niacin / Simvastatin phóng thích kéo dài</w:t>
            </w:r>
          </w:p>
        </w:tc>
        <w:tc>
          <w:tcPr>
            <w:tcW w:w="2250" w:type="dxa"/>
          </w:tcPr>
          <w:p w14:paraId="10FD15E0" w14:textId="77777777" w:rsidR="0000719A" w:rsidRPr="0000719A" w:rsidRDefault="0000719A" w:rsidP="0000719A">
            <w:pPr>
              <w:spacing w:after="0" w:line="360" w:lineRule="auto"/>
              <w:jc w:val="center"/>
              <w:rPr>
                <w:rFonts w:eastAsia="Calibri" w:cs="Times New Roman"/>
                <w:sz w:val="26"/>
                <w:szCs w:val="26"/>
              </w:rPr>
            </w:pPr>
          </w:p>
          <w:p w14:paraId="583CFA9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10/20 mg</w:t>
            </w:r>
          </w:p>
          <w:p w14:paraId="3666EA0B"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500/20 mg</w:t>
            </w:r>
          </w:p>
        </w:tc>
        <w:tc>
          <w:tcPr>
            <w:tcW w:w="2988" w:type="dxa"/>
          </w:tcPr>
          <w:p w14:paraId="252D8AC1" w14:textId="77777777" w:rsidR="0000719A" w:rsidRPr="0000719A" w:rsidRDefault="0000719A" w:rsidP="0000719A">
            <w:pPr>
              <w:spacing w:after="0" w:line="360" w:lineRule="auto"/>
              <w:jc w:val="center"/>
              <w:rPr>
                <w:rFonts w:eastAsia="Calibri" w:cs="Times New Roman"/>
                <w:sz w:val="26"/>
                <w:szCs w:val="26"/>
              </w:rPr>
            </w:pPr>
          </w:p>
          <w:p w14:paraId="5F30D106"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10/10 – 10/80 mg</w:t>
            </w:r>
          </w:p>
          <w:p w14:paraId="6ECFB4E2"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500/20 – 1000/20 mg</w:t>
            </w:r>
          </w:p>
          <w:p w14:paraId="315B3CE9" w14:textId="77777777" w:rsidR="0000719A" w:rsidRPr="0000719A" w:rsidRDefault="0000719A" w:rsidP="0000719A">
            <w:pPr>
              <w:spacing w:after="0" w:line="360" w:lineRule="auto"/>
              <w:jc w:val="center"/>
              <w:rPr>
                <w:rFonts w:eastAsia="Calibri" w:cs="Times New Roman"/>
                <w:sz w:val="26"/>
                <w:szCs w:val="26"/>
              </w:rPr>
            </w:pPr>
          </w:p>
        </w:tc>
      </w:tr>
    </w:tbl>
    <w:p w14:paraId="70D649DB" w14:textId="77777777" w:rsidR="0000719A" w:rsidRPr="0000719A" w:rsidRDefault="0000719A" w:rsidP="0000719A">
      <w:pPr>
        <w:spacing w:after="0" w:line="360" w:lineRule="auto"/>
        <w:rPr>
          <w:rFonts w:eastAsia="Calibri" w:cs="Times New Roman"/>
          <w:sz w:val="26"/>
          <w:szCs w:val="26"/>
          <w:vertAlign w:val="superscript"/>
        </w:rPr>
      </w:pPr>
    </w:p>
    <w:p w14:paraId="67DC526A"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vertAlign w:val="superscript"/>
        </w:rPr>
        <w:t>a</w:t>
      </w:r>
      <w:r w:rsidRPr="0000719A">
        <w:rPr>
          <w:rFonts w:eastAsia="Calibri" w:cs="Times New Roman"/>
          <w:sz w:val="26"/>
          <w:szCs w:val="26"/>
        </w:rPr>
        <w:t>simvastatin 80 mg không được chấp nhận cho điều trị, trừ khi BN đang được điều trị hơn 1 năm và không có bệnh cơ</w:t>
      </w:r>
    </w:p>
    <w:p w14:paraId="0A52901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Niacin thường dùng liều cao ≥ 1500 mg/ ngày, tác dụng phụ viêm gan, nhưng ở liều 1 – 2g/ngày ít gặp. Niacin phóng thích kéo dài độc gan hơn loại phóng thích nhanh nhưng dung nạp tốt hơn. Chứng đỏ bừng da, ngứa và phát ban là tác dụng phụ ít gặp ở nhóm phóng thích kéo dài.</w:t>
      </w:r>
    </w:p>
    <w:p w14:paraId="1C6E8532" w14:textId="292E0D14" w:rsidR="0000719A" w:rsidRPr="0000719A" w:rsidRDefault="0000719A" w:rsidP="0000719A">
      <w:pPr>
        <w:spacing w:after="0" w:line="360" w:lineRule="auto"/>
        <w:rPr>
          <w:rFonts w:eastAsia="Calibri" w:cs="Times New Roman"/>
          <w:b/>
          <w:sz w:val="26"/>
          <w:szCs w:val="26"/>
        </w:rPr>
      </w:pPr>
      <w:r>
        <w:rPr>
          <w:rFonts w:eastAsia="Calibri" w:cs="Times New Roman"/>
          <w:b/>
          <w:sz w:val="26"/>
          <w:szCs w:val="26"/>
        </w:rPr>
        <w:t>5.</w:t>
      </w:r>
      <w:r w:rsidRPr="0000719A">
        <w:rPr>
          <w:rFonts w:eastAsia="Calibri" w:cs="Times New Roman"/>
          <w:b/>
          <w:sz w:val="26"/>
          <w:szCs w:val="26"/>
        </w:rPr>
        <w:t xml:space="preserve"> RLLM Ở BỆNH NHÂN BỆNH THẬN MẠN (CKD):</w:t>
      </w:r>
    </w:p>
    <w:p w14:paraId="56F8838A" w14:textId="77777777" w:rsidR="0000719A" w:rsidRPr="0000719A" w:rsidRDefault="0000719A" w:rsidP="0000719A">
      <w:pPr>
        <w:spacing w:after="0" w:line="360" w:lineRule="auto"/>
        <w:jc w:val="center"/>
        <w:rPr>
          <w:rFonts w:eastAsia="Calibri" w:cs="Times New Roman"/>
          <w:sz w:val="26"/>
          <w:szCs w:val="26"/>
        </w:rPr>
      </w:pPr>
      <w:r w:rsidRPr="0000719A">
        <w:rPr>
          <w:rFonts w:eastAsia="Calibri" w:cs="Times New Roman"/>
          <w:sz w:val="26"/>
          <w:szCs w:val="26"/>
        </w:rPr>
        <w:t>Các giai đoạn của BTM theo GFR (glomerular filtration rate)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7449"/>
      </w:tblGrid>
      <w:tr w:rsidR="0000719A" w:rsidRPr="0000719A" w14:paraId="33D7AB3D" w14:textId="77777777" w:rsidTr="00DE0C6F">
        <w:trPr>
          <w:jc w:val="center"/>
        </w:trPr>
        <w:tc>
          <w:tcPr>
            <w:tcW w:w="1902" w:type="dxa"/>
          </w:tcPr>
          <w:p w14:paraId="16DB1DB3"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Giai đoạn</w:t>
            </w:r>
          </w:p>
        </w:tc>
        <w:tc>
          <w:tcPr>
            <w:tcW w:w="7449" w:type="dxa"/>
          </w:tcPr>
          <w:p w14:paraId="6F0F2A53"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Định nghĩa</w:t>
            </w:r>
          </w:p>
        </w:tc>
      </w:tr>
      <w:tr w:rsidR="0000719A" w:rsidRPr="0000719A" w14:paraId="686A0C43" w14:textId="77777777" w:rsidTr="00DE0C6F">
        <w:trPr>
          <w:jc w:val="center"/>
        </w:trPr>
        <w:tc>
          <w:tcPr>
            <w:tcW w:w="1902" w:type="dxa"/>
          </w:tcPr>
          <w:p w14:paraId="73D10B03"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1</w:t>
            </w:r>
          </w:p>
        </w:tc>
        <w:tc>
          <w:tcPr>
            <w:tcW w:w="7449" w:type="dxa"/>
          </w:tcPr>
          <w:p w14:paraId="35A079B6" w14:textId="77777777" w:rsidR="0000719A" w:rsidRPr="0000719A" w:rsidRDefault="0000719A" w:rsidP="0000719A">
            <w:pPr>
              <w:spacing w:after="0" w:line="360" w:lineRule="auto"/>
              <w:jc w:val="both"/>
              <w:rPr>
                <w:rFonts w:eastAsia="Calibri" w:cs="Times New Roman"/>
                <w:sz w:val="26"/>
                <w:szCs w:val="26"/>
                <w:vertAlign w:val="superscript"/>
              </w:rPr>
            </w:pPr>
            <w:r w:rsidRPr="0000719A">
              <w:rPr>
                <w:rFonts w:eastAsia="Calibri" w:cs="Times New Roman"/>
                <w:sz w:val="26"/>
                <w:szCs w:val="26"/>
              </w:rPr>
              <w:t>Tổn thương thận với GFR ≥ 90 ml/phút/1,73m</w:t>
            </w:r>
            <w:r w:rsidRPr="0000719A">
              <w:rPr>
                <w:rFonts w:eastAsia="Calibri" w:cs="Times New Roman"/>
                <w:sz w:val="26"/>
                <w:szCs w:val="26"/>
                <w:vertAlign w:val="superscript"/>
              </w:rPr>
              <w:t>2</w:t>
            </w:r>
          </w:p>
        </w:tc>
      </w:tr>
      <w:tr w:rsidR="0000719A" w:rsidRPr="0000719A" w14:paraId="03F9B4DE" w14:textId="77777777" w:rsidTr="00DE0C6F">
        <w:trPr>
          <w:jc w:val="center"/>
        </w:trPr>
        <w:tc>
          <w:tcPr>
            <w:tcW w:w="1902" w:type="dxa"/>
          </w:tcPr>
          <w:p w14:paraId="47655BAD"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2</w:t>
            </w:r>
          </w:p>
        </w:tc>
        <w:tc>
          <w:tcPr>
            <w:tcW w:w="7449" w:type="dxa"/>
          </w:tcPr>
          <w:p w14:paraId="167AE6EC" w14:textId="77777777" w:rsidR="0000719A" w:rsidRPr="0000719A" w:rsidRDefault="0000719A" w:rsidP="0000719A">
            <w:pPr>
              <w:spacing w:after="0" w:line="360" w:lineRule="auto"/>
              <w:jc w:val="both"/>
              <w:rPr>
                <w:rFonts w:eastAsia="Calibri" w:cs="Times New Roman"/>
                <w:sz w:val="26"/>
                <w:szCs w:val="26"/>
                <w:vertAlign w:val="superscript"/>
              </w:rPr>
            </w:pPr>
            <w:r w:rsidRPr="0000719A">
              <w:rPr>
                <w:rFonts w:eastAsia="Calibri" w:cs="Times New Roman"/>
                <w:sz w:val="26"/>
                <w:szCs w:val="26"/>
              </w:rPr>
              <w:t>Tổn thương thận với GFR 60 – 89 ml/phút/1,73m</w:t>
            </w:r>
            <w:r w:rsidRPr="0000719A">
              <w:rPr>
                <w:rFonts w:eastAsia="Calibri" w:cs="Times New Roman"/>
                <w:sz w:val="26"/>
                <w:szCs w:val="26"/>
                <w:vertAlign w:val="superscript"/>
              </w:rPr>
              <w:t>2</w:t>
            </w:r>
          </w:p>
        </w:tc>
      </w:tr>
      <w:tr w:rsidR="0000719A" w:rsidRPr="0000719A" w14:paraId="69181241" w14:textId="77777777" w:rsidTr="00DE0C6F">
        <w:trPr>
          <w:jc w:val="center"/>
        </w:trPr>
        <w:tc>
          <w:tcPr>
            <w:tcW w:w="1902" w:type="dxa"/>
          </w:tcPr>
          <w:p w14:paraId="1D9C66EB"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3</w:t>
            </w:r>
          </w:p>
        </w:tc>
        <w:tc>
          <w:tcPr>
            <w:tcW w:w="7449" w:type="dxa"/>
          </w:tcPr>
          <w:p w14:paraId="1424F6AD" w14:textId="77777777" w:rsidR="0000719A" w:rsidRPr="0000719A" w:rsidRDefault="0000719A" w:rsidP="0000719A">
            <w:pPr>
              <w:spacing w:after="0" w:line="360" w:lineRule="auto"/>
              <w:jc w:val="both"/>
              <w:rPr>
                <w:rFonts w:eastAsia="Calibri" w:cs="Times New Roman"/>
                <w:sz w:val="26"/>
                <w:szCs w:val="26"/>
                <w:vertAlign w:val="superscript"/>
              </w:rPr>
            </w:pPr>
            <w:r w:rsidRPr="0000719A">
              <w:rPr>
                <w:rFonts w:eastAsia="Calibri" w:cs="Times New Roman"/>
                <w:sz w:val="26"/>
                <w:szCs w:val="26"/>
              </w:rPr>
              <w:t>GFR 30 – 59 ml/phút/1,73m</w:t>
            </w:r>
            <w:r w:rsidRPr="0000719A">
              <w:rPr>
                <w:rFonts w:eastAsia="Calibri" w:cs="Times New Roman"/>
                <w:sz w:val="26"/>
                <w:szCs w:val="26"/>
                <w:vertAlign w:val="superscript"/>
              </w:rPr>
              <w:t>2</w:t>
            </w:r>
          </w:p>
        </w:tc>
      </w:tr>
      <w:tr w:rsidR="0000719A" w:rsidRPr="0000719A" w14:paraId="120A6129" w14:textId="77777777" w:rsidTr="00DE0C6F">
        <w:trPr>
          <w:jc w:val="center"/>
        </w:trPr>
        <w:tc>
          <w:tcPr>
            <w:tcW w:w="1902" w:type="dxa"/>
          </w:tcPr>
          <w:p w14:paraId="5B81256C"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4</w:t>
            </w:r>
          </w:p>
        </w:tc>
        <w:tc>
          <w:tcPr>
            <w:tcW w:w="7449" w:type="dxa"/>
          </w:tcPr>
          <w:p w14:paraId="048589F6" w14:textId="77777777" w:rsidR="0000719A" w:rsidRPr="0000719A" w:rsidRDefault="0000719A" w:rsidP="0000719A">
            <w:pPr>
              <w:spacing w:after="0" w:line="360" w:lineRule="auto"/>
              <w:jc w:val="both"/>
              <w:rPr>
                <w:rFonts w:eastAsia="Calibri" w:cs="Times New Roman"/>
                <w:sz w:val="26"/>
                <w:szCs w:val="26"/>
                <w:vertAlign w:val="superscript"/>
              </w:rPr>
            </w:pPr>
            <w:r w:rsidRPr="0000719A">
              <w:rPr>
                <w:rFonts w:eastAsia="Calibri" w:cs="Times New Roman"/>
                <w:sz w:val="26"/>
                <w:szCs w:val="26"/>
              </w:rPr>
              <w:t>GFR 15 – 29  ml/phút/1,73m</w:t>
            </w:r>
            <w:r w:rsidRPr="0000719A">
              <w:rPr>
                <w:rFonts w:eastAsia="Calibri" w:cs="Times New Roman"/>
                <w:sz w:val="26"/>
                <w:szCs w:val="26"/>
                <w:vertAlign w:val="superscript"/>
              </w:rPr>
              <w:t>2</w:t>
            </w:r>
          </w:p>
        </w:tc>
      </w:tr>
      <w:tr w:rsidR="0000719A" w:rsidRPr="0000719A" w14:paraId="167CF771" w14:textId="77777777" w:rsidTr="00DE0C6F">
        <w:trPr>
          <w:jc w:val="center"/>
        </w:trPr>
        <w:tc>
          <w:tcPr>
            <w:tcW w:w="1902" w:type="dxa"/>
          </w:tcPr>
          <w:p w14:paraId="333E1D9D"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5</w:t>
            </w:r>
          </w:p>
        </w:tc>
        <w:tc>
          <w:tcPr>
            <w:tcW w:w="7449" w:type="dxa"/>
          </w:tcPr>
          <w:p w14:paraId="7102E0F4"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GFR &lt; 15 ml/phút/1,73m</w:t>
            </w:r>
            <w:r w:rsidRPr="0000719A">
              <w:rPr>
                <w:rFonts w:eastAsia="Calibri" w:cs="Times New Roman"/>
                <w:sz w:val="26"/>
                <w:szCs w:val="26"/>
                <w:vertAlign w:val="superscript"/>
              </w:rPr>
              <w:t>2</w:t>
            </w:r>
            <w:r w:rsidRPr="0000719A">
              <w:rPr>
                <w:rFonts w:eastAsia="Calibri" w:cs="Times New Roman"/>
                <w:sz w:val="26"/>
                <w:szCs w:val="26"/>
              </w:rPr>
              <w:t xml:space="preserve"> hay suy thận gđ cuối phải lọc thận / ghép thận</w:t>
            </w:r>
          </w:p>
        </w:tc>
      </w:tr>
    </w:tbl>
    <w:p w14:paraId="532D54D6"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lastRenderedPageBreak/>
        <w:t>Bệnh thận mạn (BTM) được xem là YTNC tương đương BMV</w:t>
      </w:r>
    </w:p>
    <w:p w14:paraId="0D1C64B8"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Các nghiên cứu gần đây cho thấy statin làm giảm nguy cơ tử vong do mọi nguyên nhân, giảm nguy cơ NMCT, đột quỵ, và phần lớn các biến cố tim mạch ở bệnh nhân BTM giai đoạn 1 – 3.</w:t>
      </w:r>
    </w:p>
    <w:p w14:paraId="1550AB8E"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Các nghiên cứu gần đây cũng cho thấy statin làm chậm tốc độ giảm chức năng thận vừa phải và có lợi trên protein niệu bệnh lý (&gt; 300 mg/ngày). Vì vậy nên dùng statin đơn trị liệu hay phối hợp với ezetimibe để đưa LDL-C &lt; 70 mg% ở bệnh nhân BTM gđ 1 - 4</w:t>
      </w:r>
    </w:p>
    <w:p w14:paraId="52D22FB7"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BTM gđ 5, nên sử dụng statin liều thấp</w:t>
      </w:r>
    </w:p>
    <w:p w14:paraId="647D641B"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BTM gđ 1 – 2 dung nạp statin an toàn, BTM gđ 3 – 5 dung nạp an toàn với điều chỉnh liều và nên dùng statin loại ít thải qua thận (fluvastatin, atorvastatin, pitavastatin) hay ezetimibe. Cần lưu ý có sự tương tác thuốc tiềm tàng giữa một vài statins (chuyển hóa qua CYP3A4) với các thuốc ức chế CYP450 3A4 như cyclosporine, warfarin và các thuốc ức chế protease dẫn tới tác dụng phụ có hại.</w:t>
      </w:r>
    </w:p>
    <w:p w14:paraId="39765DD7"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Fibrate làm tăng creatinine và homocysteine, là các YTNC đối với BMV đã thành lập, mạnh hơn so với gemfibrozil. Fenofibrate không được lọc qua thận, không nên sử dụng ở bệnh nhân có GFR &lt; 50 ml/phút/1,73m</w:t>
      </w:r>
      <w:r w:rsidRPr="0000719A">
        <w:rPr>
          <w:rFonts w:eastAsia="Calibri" w:cs="Times New Roman"/>
          <w:sz w:val="26"/>
          <w:szCs w:val="26"/>
          <w:vertAlign w:val="superscript"/>
        </w:rPr>
        <w:t>2</w:t>
      </w:r>
      <w:r w:rsidRPr="0000719A">
        <w:rPr>
          <w:rFonts w:eastAsia="Calibri" w:cs="Times New Roman"/>
          <w:sz w:val="26"/>
          <w:szCs w:val="26"/>
        </w:rPr>
        <w:t>. Liều gemfibrozil đã được ghi nhận giảm tới 600 mg/ngày nếu GFR &lt; 60 ml/phút/1,73m</w:t>
      </w:r>
      <w:r w:rsidRPr="0000719A">
        <w:rPr>
          <w:rFonts w:eastAsia="Calibri" w:cs="Times New Roman"/>
          <w:sz w:val="26"/>
          <w:szCs w:val="26"/>
          <w:vertAlign w:val="superscript"/>
        </w:rPr>
        <w:t>2</w:t>
      </w:r>
      <w:r w:rsidRPr="0000719A">
        <w:rPr>
          <w:rFonts w:eastAsia="Calibri" w:cs="Times New Roman"/>
          <w:sz w:val="26"/>
          <w:szCs w:val="26"/>
        </w:rPr>
        <w:t xml:space="preserve"> và tránh dùng nếu GFR &lt; 15 ml/phút/1,73m</w:t>
      </w:r>
      <w:r w:rsidRPr="0000719A">
        <w:rPr>
          <w:rFonts w:eastAsia="Calibri" w:cs="Times New Roman"/>
          <w:sz w:val="26"/>
          <w:szCs w:val="26"/>
          <w:vertAlign w:val="superscript"/>
        </w:rPr>
        <w:t>2</w:t>
      </w:r>
    </w:p>
    <w:p w14:paraId="0CFAC884" w14:textId="77777777" w:rsidR="0000719A" w:rsidRPr="0000719A" w:rsidRDefault="0000719A" w:rsidP="0000719A">
      <w:pPr>
        <w:numPr>
          <w:ilvl w:val="0"/>
          <w:numId w:val="40"/>
        </w:numPr>
        <w:spacing w:before="240" w:after="0" w:line="360" w:lineRule="auto"/>
        <w:jc w:val="both"/>
        <w:rPr>
          <w:rFonts w:eastAsia="Calibri" w:cs="Times New Roman"/>
          <w:sz w:val="26"/>
          <w:szCs w:val="26"/>
        </w:rPr>
      </w:pPr>
      <w:r w:rsidRPr="0000719A">
        <w:rPr>
          <w:rFonts w:eastAsia="Calibri" w:cs="Times New Roman"/>
          <w:sz w:val="26"/>
          <w:szCs w:val="26"/>
        </w:rPr>
        <w:t>Acid béo Omega 3 là loại ít gây tác dụng phụ nhất, có thể dùng để giảm TG ở BN có RLLM hỗn hợp. Liều thường dùng ≥ 4 g/ ngày</w:t>
      </w:r>
    </w:p>
    <w:p w14:paraId="0BEB2767"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b/>
          <w:sz w:val="26"/>
          <w:szCs w:val="26"/>
        </w:rPr>
        <w:t>Các khuyến cáo theo KDIGO</w:t>
      </w:r>
      <w:r w:rsidRPr="0000719A">
        <w:rPr>
          <w:rFonts w:eastAsia="Calibri" w:cs="Times New Roman"/>
          <w:sz w:val="26"/>
          <w:szCs w:val="26"/>
        </w:rPr>
        <w:t xml:space="preserve"> (Kidney Disease: Improving Global Outcomes)</w:t>
      </w:r>
    </w:p>
    <w:p w14:paraId="57535DC7" w14:textId="77777777" w:rsidR="0000719A" w:rsidRPr="0000719A" w:rsidRDefault="0000719A" w:rsidP="0000719A">
      <w:pPr>
        <w:spacing w:after="0" w:line="360" w:lineRule="auto"/>
        <w:jc w:val="both"/>
        <w:rPr>
          <w:rFonts w:eastAsia="Calibri" w:cs="Times New Roman"/>
          <w:b/>
          <w:sz w:val="26"/>
          <w:szCs w:val="26"/>
        </w:rPr>
      </w:pPr>
      <w:r w:rsidRPr="0000719A">
        <w:rPr>
          <w:rFonts w:eastAsia="Calibri" w:cs="Times New Roman"/>
          <w:b/>
          <w:sz w:val="26"/>
          <w:szCs w:val="26"/>
        </w:rPr>
        <w:t>1- Tăng LDL-C:</w:t>
      </w:r>
    </w:p>
    <w:p w14:paraId="34418072"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BN BTM ≥ 50 tuổi với GFR &lt; 60 ml/phút/1,73m</w:t>
      </w:r>
      <w:r w:rsidRPr="0000719A">
        <w:rPr>
          <w:rFonts w:eastAsia="Calibri" w:cs="Times New Roman"/>
          <w:sz w:val="26"/>
          <w:szCs w:val="26"/>
          <w:vertAlign w:val="superscript"/>
        </w:rPr>
        <w:t>2</w:t>
      </w:r>
      <w:r w:rsidRPr="0000719A">
        <w:rPr>
          <w:rFonts w:eastAsia="Calibri" w:cs="Times New Roman"/>
          <w:sz w:val="26"/>
          <w:szCs w:val="26"/>
        </w:rPr>
        <w:t xml:space="preserve"> chưa lọc thận hay ghép thận, dùng statin hay viên phối hợp statin/ezetimibe (1A)</w:t>
      </w:r>
    </w:p>
    <w:p w14:paraId="4FE9777F"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 BN BTM ≥ 50 tuổi và GFR ≥ 60 ml/phút/1,73m</w:t>
      </w:r>
      <w:r w:rsidRPr="0000719A">
        <w:rPr>
          <w:rFonts w:eastAsia="Calibri" w:cs="Times New Roman"/>
          <w:sz w:val="26"/>
          <w:szCs w:val="26"/>
          <w:vertAlign w:val="superscript"/>
        </w:rPr>
        <w:t>2</w:t>
      </w:r>
      <w:r w:rsidRPr="0000719A">
        <w:rPr>
          <w:rFonts w:eastAsia="Calibri" w:cs="Times New Roman"/>
          <w:sz w:val="26"/>
          <w:szCs w:val="26"/>
        </w:rPr>
        <w:t>, dùng statin (1B)</w:t>
      </w:r>
    </w:p>
    <w:p w14:paraId="4A9A140F"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lastRenderedPageBreak/>
        <w:t>- BN BTM 18 – 49 tuổi nhưng chưa lọc thận hay ghép thân, dùng statin khi có một trong các dấu hiệu sau (2A):</w:t>
      </w:r>
    </w:p>
    <w:p w14:paraId="140063E3" w14:textId="77777777" w:rsidR="0000719A" w:rsidRPr="0000719A" w:rsidRDefault="0000719A" w:rsidP="0000719A">
      <w:pPr>
        <w:spacing w:after="0" w:line="360" w:lineRule="auto"/>
        <w:ind w:left="720"/>
        <w:jc w:val="both"/>
        <w:rPr>
          <w:rFonts w:eastAsia="Calibri" w:cs="Times New Roman"/>
          <w:sz w:val="26"/>
          <w:szCs w:val="26"/>
        </w:rPr>
      </w:pPr>
      <w:r w:rsidRPr="0000719A">
        <w:rPr>
          <w:rFonts w:eastAsia="Calibri" w:cs="Times New Roman"/>
          <w:sz w:val="26"/>
          <w:szCs w:val="26"/>
        </w:rPr>
        <w:t>+ BMV đã thành lập (NMCT hay tái thông mạch vành)</w:t>
      </w:r>
    </w:p>
    <w:p w14:paraId="6E04A62C" w14:textId="77777777" w:rsidR="0000719A" w:rsidRPr="0000719A" w:rsidRDefault="0000719A" w:rsidP="0000719A">
      <w:pPr>
        <w:spacing w:after="0" w:line="360" w:lineRule="auto"/>
        <w:ind w:left="720"/>
        <w:jc w:val="both"/>
        <w:rPr>
          <w:rFonts w:eastAsia="Calibri" w:cs="Times New Roman"/>
          <w:sz w:val="26"/>
          <w:szCs w:val="26"/>
        </w:rPr>
      </w:pPr>
      <w:r w:rsidRPr="0000719A">
        <w:rPr>
          <w:rFonts w:eastAsia="Calibri" w:cs="Times New Roman"/>
          <w:sz w:val="26"/>
          <w:szCs w:val="26"/>
        </w:rPr>
        <w:t>+ ĐTĐ</w:t>
      </w:r>
    </w:p>
    <w:p w14:paraId="4367D45B" w14:textId="77777777" w:rsidR="0000719A" w:rsidRPr="0000719A" w:rsidRDefault="0000719A" w:rsidP="0000719A">
      <w:pPr>
        <w:spacing w:after="0" w:line="360" w:lineRule="auto"/>
        <w:ind w:left="720"/>
        <w:jc w:val="both"/>
        <w:rPr>
          <w:rFonts w:eastAsia="Calibri" w:cs="Times New Roman"/>
          <w:sz w:val="26"/>
          <w:szCs w:val="26"/>
        </w:rPr>
      </w:pPr>
      <w:r w:rsidRPr="0000719A">
        <w:rPr>
          <w:rFonts w:eastAsia="Calibri" w:cs="Times New Roman"/>
          <w:sz w:val="26"/>
          <w:szCs w:val="26"/>
        </w:rPr>
        <w:t>+ Đột quỵ nhồi máu não trước đó</w:t>
      </w:r>
    </w:p>
    <w:p w14:paraId="014A6FF8" w14:textId="77777777" w:rsidR="0000719A" w:rsidRPr="0000719A" w:rsidRDefault="0000719A" w:rsidP="0000719A">
      <w:pPr>
        <w:spacing w:after="0" w:line="360" w:lineRule="auto"/>
        <w:ind w:left="720"/>
        <w:jc w:val="both"/>
        <w:rPr>
          <w:rFonts w:eastAsia="Calibri" w:cs="Times New Roman"/>
          <w:sz w:val="26"/>
          <w:szCs w:val="26"/>
        </w:rPr>
      </w:pPr>
      <w:r w:rsidRPr="0000719A">
        <w:rPr>
          <w:rFonts w:eastAsia="Calibri" w:cs="Times New Roman"/>
          <w:sz w:val="26"/>
          <w:szCs w:val="26"/>
        </w:rPr>
        <w:t>+ Nguy cơ 10 năm BMV &gt; 10%</w:t>
      </w:r>
    </w:p>
    <w:p w14:paraId="1FB62675"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-BTM lệ thuộc lọc thận, không khuyến cáo dùng statin hay viên phối hợp statin/ezetimibe (2A)</w:t>
      </w:r>
    </w:p>
    <w:p w14:paraId="29EE142C"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-BN đã điều trị statin hay viên phối hợp statin/ezetimibe lúc khởi đầu lọc thận, nên dùng tiếp (2C)</w:t>
      </w:r>
    </w:p>
    <w:p w14:paraId="2D88ADC5" w14:textId="77777777" w:rsidR="0000719A" w:rsidRPr="0000719A" w:rsidRDefault="0000719A" w:rsidP="0000719A">
      <w:pPr>
        <w:spacing w:after="0" w:line="360" w:lineRule="auto"/>
        <w:jc w:val="both"/>
        <w:rPr>
          <w:rFonts w:eastAsia="Calibri" w:cs="Times New Roman"/>
          <w:sz w:val="26"/>
          <w:szCs w:val="26"/>
        </w:rPr>
      </w:pPr>
      <w:r w:rsidRPr="0000719A">
        <w:rPr>
          <w:rFonts w:eastAsia="Calibri" w:cs="Times New Roman"/>
          <w:sz w:val="26"/>
          <w:szCs w:val="26"/>
        </w:rPr>
        <w:t>-BN ghép thận, khuyến cáo dùng statin (2B)</w:t>
      </w:r>
    </w:p>
    <w:p w14:paraId="6F7F2F39" w14:textId="77777777" w:rsidR="0000719A" w:rsidRPr="0000719A" w:rsidRDefault="0000719A" w:rsidP="0000719A">
      <w:pPr>
        <w:spacing w:after="0" w:line="360" w:lineRule="auto"/>
        <w:jc w:val="both"/>
        <w:rPr>
          <w:rFonts w:eastAsia="Calibri" w:cs="Times New Roman"/>
          <w:b/>
          <w:sz w:val="26"/>
          <w:szCs w:val="26"/>
        </w:rPr>
      </w:pPr>
      <w:r w:rsidRPr="0000719A">
        <w:rPr>
          <w:rFonts w:eastAsia="Calibri" w:cs="Times New Roman"/>
          <w:b/>
          <w:sz w:val="26"/>
          <w:szCs w:val="26"/>
        </w:rPr>
        <w:t>2-Tăng Triglyceride</w:t>
      </w:r>
    </w:p>
    <w:p w14:paraId="409165F1" w14:textId="6BA8443E" w:rsidR="0000719A" w:rsidRPr="0000719A" w:rsidRDefault="0000719A" w:rsidP="0000719A">
      <w:pPr>
        <w:spacing w:after="0" w:line="360" w:lineRule="auto"/>
        <w:jc w:val="both"/>
        <w:rPr>
          <w:rFonts w:eastAsia="Calibri" w:cs="Times New Roman"/>
          <w:b/>
          <w:sz w:val="26"/>
          <w:szCs w:val="26"/>
        </w:rPr>
      </w:pPr>
      <w:r w:rsidRPr="0000719A">
        <w:rPr>
          <w:rFonts w:eastAsia="Calibri" w:cs="Times New Roman"/>
          <w:sz w:val="26"/>
          <w:szCs w:val="26"/>
        </w:rPr>
        <w:t>BN BTM kể cả lọc thận hay ghép thận và tăng TG, chỉ khuyến cáo thay đổi lối sống (2D)</w:t>
      </w:r>
    </w:p>
    <w:p w14:paraId="1BDF09DC" w14:textId="60097C12" w:rsidR="00353AF2" w:rsidRPr="000E38B7" w:rsidRDefault="00353AF2" w:rsidP="00DD6A51">
      <w:pPr>
        <w:pStyle w:val="ListParagraph"/>
        <w:numPr>
          <w:ilvl w:val="0"/>
          <w:numId w:val="29"/>
        </w:numPr>
        <w:spacing w:before="120" w:after="0" w:line="360" w:lineRule="auto"/>
        <w:ind w:left="426"/>
        <w:jc w:val="both"/>
        <w:rPr>
          <w:b/>
          <w:bCs/>
          <w:sz w:val="28"/>
          <w:szCs w:val="28"/>
          <w:highlight w:val="yellow"/>
        </w:rPr>
      </w:pPr>
      <w:r w:rsidRPr="000E38B7">
        <w:rPr>
          <w:b/>
          <w:bCs/>
          <w:sz w:val="28"/>
          <w:szCs w:val="28"/>
          <w:highlight w:val="yellow"/>
        </w:rPr>
        <w:t>TIÊU CHUẨN NHẬP VIỆN</w:t>
      </w:r>
    </w:p>
    <w:p w14:paraId="5689F605" w14:textId="780A218F" w:rsidR="00353AF2" w:rsidRPr="000E38B7" w:rsidRDefault="00353AF2" w:rsidP="00DD6A51">
      <w:pPr>
        <w:pStyle w:val="ListParagraph"/>
        <w:numPr>
          <w:ilvl w:val="0"/>
          <w:numId w:val="29"/>
        </w:numPr>
        <w:spacing w:before="120" w:after="0" w:line="360" w:lineRule="auto"/>
        <w:ind w:left="426"/>
        <w:jc w:val="both"/>
        <w:rPr>
          <w:b/>
          <w:bCs/>
          <w:sz w:val="28"/>
          <w:szCs w:val="28"/>
          <w:highlight w:val="yellow"/>
        </w:rPr>
      </w:pPr>
      <w:r w:rsidRPr="000E38B7">
        <w:rPr>
          <w:b/>
          <w:bCs/>
          <w:sz w:val="28"/>
          <w:szCs w:val="28"/>
          <w:highlight w:val="yellow"/>
        </w:rPr>
        <w:t>TIÊN LƯỢNG BIẾN CHỨNG</w:t>
      </w:r>
    </w:p>
    <w:p w14:paraId="05AFF809" w14:textId="49FA7289" w:rsidR="00353AF2" w:rsidRPr="000E38B7" w:rsidRDefault="00353AF2" w:rsidP="00DD6A51">
      <w:pPr>
        <w:pStyle w:val="ListParagraph"/>
        <w:numPr>
          <w:ilvl w:val="0"/>
          <w:numId w:val="29"/>
        </w:numPr>
        <w:spacing w:before="120" w:after="0" w:line="360" w:lineRule="auto"/>
        <w:ind w:left="426"/>
        <w:jc w:val="both"/>
        <w:rPr>
          <w:b/>
          <w:bCs/>
          <w:sz w:val="28"/>
          <w:szCs w:val="28"/>
          <w:highlight w:val="yellow"/>
        </w:rPr>
      </w:pPr>
      <w:r w:rsidRPr="000E38B7">
        <w:rPr>
          <w:b/>
          <w:bCs/>
          <w:sz w:val="28"/>
          <w:szCs w:val="28"/>
          <w:highlight w:val="yellow"/>
        </w:rPr>
        <w:t>PHÒNG BỆNH</w:t>
      </w:r>
    </w:p>
    <w:p w14:paraId="47744991" w14:textId="18CABE6C" w:rsidR="001F7A3C" w:rsidRPr="000E38B7" w:rsidRDefault="00353AF2" w:rsidP="00DD6A51">
      <w:pPr>
        <w:pStyle w:val="ListParagraph"/>
        <w:numPr>
          <w:ilvl w:val="0"/>
          <w:numId w:val="29"/>
        </w:numPr>
        <w:spacing w:before="120" w:after="0" w:line="360" w:lineRule="auto"/>
        <w:ind w:left="426"/>
        <w:jc w:val="both"/>
        <w:rPr>
          <w:b/>
          <w:bCs/>
          <w:sz w:val="28"/>
          <w:szCs w:val="28"/>
          <w:highlight w:val="yellow"/>
        </w:rPr>
      </w:pPr>
      <w:r w:rsidRPr="000E38B7">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0E38B7">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bookmarkStart w:id="0" w:name="_GoBack"/>
      <w:bookmarkEnd w:id="0"/>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DDCC" w14:textId="77777777" w:rsidR="00191203" w:rsidRDefault="00191203" w:rsidP="00D031C0">
      <w:pPr>
        <w:spacing w:after="0" w:line="240" w:lineRule="auto"/>
      </w:pPr>
      <w:r>
        <w:separator/>
      </w:r>
    </w:p>
  </w:endnote>
  <w:endnote w:type="continuationSeparator" w:id="0">
    <w:p w14:paraId="15FD6910" w14:textId="77777777" w:rsidR="00191203" w:rsidRDefault="00191203"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5F1E820D"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0719A">
              <w:rPr>
                <w:b/>
                <w:bCs/>
                <w:noProof/>
              </w:rPr>
              <w:t>6</w:t>
            </w:r>
            <w:r>
              <w:rPr>
                <w:b/>
                <w:bCs/>
                <w:szCs w:val="24"/>
              </w:rPr>
              <w:fldChar w:fldCharType="end"/>
            </w:r>
            <w:r>
              <w:t xml:space="preserve"> of </w:t>
            </w:r>
            <w:r w:rsidR="00DD6A51">
              <w:rPr>
                <w:b/>
                <w:bCs/>
                <w:szCs w:val="24"/>
              </w:rPr>
              <w:t>11</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311F" w14:textId="3266AC39" w:rsidR="000E38B7" w:rsidRDefault="000E38B7">
    <w:pPr>
      <w:pStyle w:val="Footer"/>
      <w:jc w:val="right"/>
    </w:pPr>
  </w:p>
  <w:p w14:paraId="04882CC9" w14:textId="77777777" w:rsidR="000E38B7" w:rsidRDefault="000E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A531" w14:textId="77777777" w:rsidR="00191203" w:rsidRDefault="00191203" w:rsidP="00D031C0">
      <w:pPr>
        <w:spacing w:after="0" w:line="240" w:lineRule="auto"/>
      </w:pPr>
      <w:r>
        <w:separator/>
      </w:r>
    </w:p>
  </w:footnote>
  <w:footnote w:type="continuationSeparator" w:id="0">
    <w:p w14:paraId="182044E3" w14:textId="77777777" w:rsidR="00191203" w:rsidRDefault="00191203"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0E38B7">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358CC764">
                <wp:simplePos x="0" y="0"/>
                <wp:positionH relativeFrom="margin">
                  <wp:posOffset>82329</wp:posOffset>
                </wp:positionH>
                <wp:positionV relativeFrom="paragraph">
                  <wp:posOffset>96520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16764CEB" w:rsidR="00353AF2" w:rsidRPr="000E38B7" w:rsidRDefault="000E38B7" w:rsidP="000E38B7">
          <w:pPr>
            <w:spacing w:after="0"/>
            <w:jc w:val="center"/>
            <w:rPr>
              <w:b/>
              <w:sz w:val="18"/>
              <w:szCs w:val="18"/>
            </w:rPr>
          </w:pPr>
          <w:r w:rsidRPr="000E38B7">
            <w:rPr>
              <w:b/>
              <w:sz w:val="18"/>
              <w:szCs w:val="18"/>
            </w:rPr>
            <w:t>PRO-MO-OPD-009</w:t>
          </w:r>
        </w:p>
      </w:tc>
    </w:tr>
    <w:tr w:rsidR="00353AF2" w:rsidRPr="00D031C0" w14:paraId="149AF2C2" w14:textId="77777777" w:rsidTr="000E38B7">
      <w:trPr>
        <w:cantSplit/>
        <w:trHeight w:val="228"/>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C4B16A5" w:rsidR="00353AF2" w:rsidRPr="000E38B7" w:rsidRDefault="00353AF2" w:rsidP="008E06EF">
          <w:pPr>
            <w:pStyle w:val="Heading1"/>
            <w:spacing w:line="360" w:lineRule="auto"/>
            <w:jc w:val="center"/>
            <w:rPr>
              <w:rFonts w:ascii="Times New Roman" w:hAnsi="Times New Roman" w:cs="Times New Roman"/>
              <w:b/>
            </w:rPr>
          </w:pPr>
          <w:r w:rsidRPr="000E38B7">
            <w:rPr>
              <w:rFonts w:ascii="Times New Roman" w:hAnsi="Times New Roman" w:cs="Times New Roman"/>
              <w:b/>
              <w:color w:val="auto"/>
            </w:rPr>
            <w:t>BỆNH</w:t>
          </w:r>
          <w:r w:rsidR="004B0221" w:rsidRPr="000E38B7">
            <w:rPr>
              <w:rFonts w:ascii="Times New Roman" w:hAnsi="Times New Roman" w:cs="Times New Roman"/>
              <w:b/>
              <w:color w:val="auto"/>
            </w:rPr>
            <w:t xml:space="preserve"> RỐI LOẠN LIPID MÁU</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2C4C5640" w:rsidR="00353AF2" w:rsidRPr="00FD45A7" w:rsidRDefault="00353AF2" w:rsidP="00454288">
          <w:pPr>
            <w:spacing w:after="20"/>
            <w:rPr>
              <w:noProof/>
              <w:sz w:val="18"/>
            </w:rPr>
          </w:pPr>
          <w:r w:rsidRPr="00FD45A7">
            <w:rPr>
              <w:noProof/>
              <w:sz w:val="18"/>
            </w:rPr>
            <w:t xml:space="preserve">Phiên bản: </w:t>
          </w:r>
          <w:r w:rsidR="000E38B7">
            <w:rPr>
              <w:noProof/>
              <w:sz w:val="18"/>
            </w:rPr>
            <w:t>00</w:t>
          </w:r>
        </w:p>
      </w:tc>
    </w:tr>
    <w:tr w:rsidR="00353AF2" w14:paraId="32D68E98" w14:textId="77777777" w:rsidTr="000E38B7">
      <w:trPr>
        <w:cantSplit/>
        <w:trHeight w:val="260"/>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705A7B" w:rsidR="00353AF2" w:rsidRPr="00FD45A7" w:rsidRDefault="00353AF2" w:rsidP="00454288">
          <w:pPr>
            <w:spacing w:after="20"/>
            <w:rPr>
              <w:noProof/>
              <w:sz w:val="18"/>
            </w:rPr>
          </w:pPr>
          <w:r w:rsidRPr="00FD45A7">
            <w:rPr>
              <w:noProof/>
              <w:sz w:val="18"/>
            </w:rPr>
            <w:t>Ngày hiệu lực:</w:t>
          </w:r>
          <w:r w:rsidR="000E38B7">
            <w:rPr>
              <w:noProof/>
              <w:sz w:val="18"/>
            </w:rPr>
            <w:t xml:space="preserve"> 15/11/2022</w:t>
          </w:r>
          <w:r w:rsidRPr="00FD45A7">
            <w:rPr>
              <w:noProof/>
              <w:sz w:val="18"/>
            </w:rPr>
            <w:t xml:space="preserve"> </w:t>
          </w:r>
        </w:p>
      </w:tc>
    </w:tr>
    <w:tr w:rsidR="00353AF2" w:rsidRPr="00E456F3" w14:paraId="613D3A23" w14:textId="77777777" w:rsidTr="000E38B7">
      <w:trPr>
        <w:cantSplit/>
        <w:trHeight w:val="122"/>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EDB8336" w:rsidR="00353AF2" w:rsidRPr="00FD45A7" w:rsidRDefault="00353AF2" w:rsidP="00454288">
          <w:pPr>
            <w:spacing w:after="20"/>
            <w:rPr>
              <w:noProof/>
              <w:sz w:val="16"/>
            </w:rPr>
          </w:pPr>
          <w:r w:rsidRPr="00FD45A7">
            <w:rPr>
              <w:noProof/>
              <w:sz w:val="18"/>
            </w:rPr>
            <w:t xml:space="preserve">Số trang: </w:t>
          </w:r>
          <w:r w:rsidR="000E38B7">
            <w:rPr>
              <w:noProof/>
              <w:sz w:val="18"/>
            </w:rPr>
            <w:t>11</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F314B8"/>
    <w:multiLevelType w:val="hybridMultilevel"/>
    <w:tmpl w:val="037058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0DF664B"/>
    <w:multiLevelType w:val="hybridMultilevel"/>
    <w:tmpl w:val="FAF06064"/>
    <w:lvl w:ilvl="0" w:tplc="9E046F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78E0C23"/>
    <w:multiLevelType w:val="hybridMultilevel"/>
    <w:tmpl w:val="BDA04D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24039D9"/>
    <w:multiLevelType w:val="multilevel"/>
    <w:tmpl w:val="0EA297AC"/>
    <w:lvl w:ilvl="0">
      <w:start w:val="4"/>
      <w:numFmt w:val="decimal"/>
      <w:lvlText w:val="%1."/>
      <w:lvlJc w:val="left"/>
      <w:pPr>
        <w:ind w:left="585" w:hanging="585"/>
      </w:pPr>
      <w:rPr>
        <w:rFonts w:hint="default"/>
      </w:rPr>
    </w:lvl>
    <w:lvl w:ilvl="1">
      <w:start w:val="2"/>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D76698"/>
    <w:multiLevelType w:val="multilevel"/>
    <w:tmpl w:val="316A1B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CC487B"/>
    <w:multiLevelType w:val="multilevel"/>
    <w:tmpl w:val="10F85B58"/>
    <w:lvl w:ilvl="0">
      <w:start w:val="1"/>
      <w:numFmt w:val="decimal"/>
      <w:lvlText w:val="%1."/>
      <w:lvlJc w:val="left"/>
      <w:pPr>
        <w:ind w:left="450" w:hanging="360"/>
      </w:pPr>
      <w:rPr>
        <w:rFonts w:hint="default"/>
      </w:rPr>
    </w:lvl>
    <w:lvl w:ilvl="1">
      <w:start w:val="2"/>
      <w:numFmt w:val="decimal"/>
      <w:isLgl/>
      <w:lvlText w:val="%1.%2"/>
      <w:lvlJc w:val="left"/>
      <w:pPr>
        <w:ind w:left="735" w:hanging="64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32"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3"/>
  </w:num>
  <w:num w:numId="4">
    <w:abstractNumId w:val="36"/>
  </w:num>
  <w:num w:numId="5">
    <w:abstractNumId w:val="26"/>
  </w:num>
  <w:num w:numId="6">
    <w:abstractNumId w:val="23"/>
  </w:num>
  <w:num w:numId="7">
    <w:abstractNumId w:val="11"/>
  </w:num>
  <w:num w:numId="8">
    <w:abstractNumId w:val="35"/>
  </w:num>
  <w:num w:numId="9">
    <w:abstractNumId w:val="5"/>
  </w:num>
  <w:num w:numId="10">
    <w:abstractNumId w:val="0"/>
  </w:num>
  <w:num w:numId="11">
    <w:abstractNumId w:val="1"/>
  </w:num>
  <w:num w:numId="12">
    <w:abstractNumId w:val="39"/>
  </w:num>
  <w:num w:numId="13">
    <w:abstractNumId w:val="32"/>
  </w:num>
  <w:num w:numId="14">
    <w:abstractNumId w:val="34"/>
  </w:num>
  <w:num w:numId="15">
    <w:abstractNumId w:val="40"/>
  </w:num>
  <w:num w:numId="16">
    <w:abstractNumId w:val="6"/>
  </w:num>
  <w:num w:numId="17">
    <w:abstractNumId w:val="18"/>
  </w:num>
  <w:num w:numId="18">
    <w:abstractNumId w:val="38"/>
  </w:num>
  <w:num w:numId="19">
    <w:abstractNumId w:val="8"/>
  </w:num>
  <w:num w:numId="20">
    <w:abstractNumId w:val="2"/>
  </w:num>
  <w:num w:numId="21">
    <w:abstractNumId w:val="13"/>
  </w:num>
  <w:num w:numId="22">
    <w:abstractNumId w:val="17"/>
  </w:num>
  <w:num w:numId="23">
    <w:abstractNumId w:val="22"/>
  </w:num>
  <w:num w:numId="24">
    <w:abstractNumId w:val="27"/>
  </w:num>
  <w:num w:numId="25">
    <w:abstractNumId w:val="12"/>
  </w:num>
  <w:num w:numId="26">
    <w:abstractNumId w:val="25"/>
  </w:num>
  <w:num w:numId="27">
    <w:abstractNumId w:val="24"/>
  </w:num>
  <w:num w:numId="28">
    <w:abstractNumId w:val="14"/>
  </w:num>
  <w:num w:numId="29">
    <w:abstractNumId w:val="21"/>
  </w:num>
  <w:num w:numId="30">
    <w:abstractNumId w:val="16"/>
  </w:num>
  <w:num w:numId="31">
    <w:abstractNumId w:val="37"/>
  </w:num>
  <w:num w:numId="32">
    <w:abstractNumId w:val="15"/>
  </w:num>
  <w:num w:numId="33">
    <w:abstractNumId w:val="29"/>
  </w:num>
  <w:num w:numId="34">
    <w:abstractNumId w:val="20"/>
  </w:num>
  <w:num w:numId="35">
    <w:abstractNumId w:val="4"/>
  </w:num>
  <w:num w:numId="36">
    <w:abstractNumId w:val="31"/>
  </w:num>
  <w:num w:numId="37">
    <w:abstractNumId w:val="30"/>
  </w:num>
  <w:num w:numId="38">
    <w:abstractNumId w:val="3"/>
  </w:num>
  <w:num w:numId="39">
    <w:abstractNumId w:val="19"/>
  </w:num>
  <w:num w:numId="40">
    <w:abstractNumId w:val="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0719A"/>
    <w:rsid w:val="00032FDC"/>
    <w:rsid w:val="0007505E"/>
    <w:rsid w:val="000B03FE"/>
    <w:rsid w:val="000C3EE1"/>
    <w:rsid w:val="000D6AA1"/>
    <w:rsid w:val="000E38B7"/>
    <w:rsid w:val="000F4121"/>
    <w:rsid w:val="00101DBA"/>
    <w:rsid w:val="00111AB1"/>
    <w:rsid w:val="00191203"/>
    <w:rsid w:val="001A6B73"/>
    <w:rsid w:val="001D1FB0"/>
    <w:rsid w:val="001D7A59"/>
    <w:rsid w:val="001F4529"/>
    <w:rsid w:val="001F7A3C"/>
    <w:rsid w:val="00217816"/>
    <w:rsid w:val="00260BC6"/>
    <w:rsid w:val="00272405"/>
    <w:rsid w:val="002775D5"/>
    <w:rsid w:val="002D34CF"/>
    <w:rsid w:val="00326087"/>
    <w:rsid w:val="00353AF2"/>
    <w:rsid w:val="0036737C"/>
    <w:rsid w:val="00371719"/>
    <w:rsid w:val="00375912"/>
    <w:rsid w:val="00386672"/>
    <w:rsid w:val="003A2E82"/>
    <w:rsid w:val="003B12E4"/>
    <w:rsid w:val="003B58BC"/>
    <w:rsid w:val="00446E32"/>
    <w:rsid w:val="0046470B"/>
    <w:rsid w:val="004A0325"/>
    <w:rsid w:val="004A1601"/>
    <w:rsid w:val="004B022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DE0C6F"/>
    <w:rsid w:val="00E14DB6"/>
    <w:rsid w:val="00E35BA7"/>
    <w:rsid w:val="00E37A4F"/>
    <w:rsid w:val="00EA27D8"/>
    <w:rsid w:val="00F90B68"/>
    <w:rsid w:val="00FA527A"/>
    <w:rsid w:val="00FD45A7"/>
    <w:rsid w:val="00FF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3411">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852A-0C28-4426-BDBA-39D38847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2022-11-07T01:52:00Z</dcterms:created>
  <dcterms:modified xsi:type="dcterms:W3CDTF">2022-11-07T01:52:00Z</dcterms:modified>
</cp:coreProperties>
</file>